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A5E0" w14:textId="77777777" w:rsidR="00687211" w:rsidRPr="00687211" w:rsidRDefault="00687211" w:rsidP="00687211">
      <w:pPr>
        <w:tabs>
          <w:tab w:val="left" w:pos="4228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0" w:name="_Hlk65145716"/>
      <w:r w:rsidRPr="00687211">
        <w:rPr>
          <w:rFonts w:ascii="Times New Roman" w:hAnsi="Times New Roman"/>
          <w:sz w:val="24"/>
          <w:szCs w:val="24"/>
          <w:lang w:eastAsia="lt-LT"/>
        </w:rPr>
        <w:t>Pirkimo sąlygų 8 priedas „Techninė užduotis“</w:t>
      </w:r>
    </w:p>
    <w:p w14:paraId="1DB1044E" w14:textId="77777777" w:rsidR="009D3D13" w:rsidRPr="009D3D13" w:rsidRDefault="009D3D13" w:rsidP="00687211">
      <w:pPr>
        <w:spacing w:after="0" w:line="240" w:lineRule="auto"/>
        <w:ind w:left="7088"/>
        <w:jc w:val="center"/>
        <w:rPr>
          <w:rFonts w:ascii="Times New Roman" w:hAnsi="Times New Roman"/>
          <w:b/>
          <w:noProof/>
          <w:sz w:val="24"/>
          <w:szCs w:val="24"/>
          <w:lang w:val="en-US" w:eastAsia="lt-LT"/>
        </w:rPr>
      </w:pPr>
    </w:p>
    <w:p w14:paraId="6E2160A4" w14:textId="0F863678" w:rsidR="00473976" w:rsidRPr="00D02C55" w:rsidRDefault="007B6FC4" w:rsidP="009D3D13">
      <w:pPr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7B6FC4">
        <w:rPr>
          <w:rFonts w:ascii="Times New Roman" w:hAnsi="Times New Roman"/>
          <w:b/>
          <w:noProof/>
          <w:sz w:val="24"/>
          <w:szCs w:val="24"/>
          <w:lang w:val="en-US" w:eastAsia="lt-LT"/>
        </w:rPr>
        <w:t>BALNINKŲ G. IR LELIJŲ G., BALNINKŲ K., NEMUNAIČIO SEN., ALYTAUS R. SAV.</w:t>
      </w:r>
      <w:r w:rsidR="005A626A">
        <w:rPr>
          <w:rFonts w:ascii="Times New Roman" w:hAnsi="Times New Roman"/>
          <w:b/>
          <w:noProof/>
          <w:sz w:val="24"/>
          <w:szCs w:val="24"/>
          <w:lang w:val="en-US" w:eastAsia="lt-LT"/>
        </w:rPr>
        <w:t xml:space="preserve">, </w:t>
      </w:r>
      <w:r w:rsidR="009D3D13" w:rsidRPr="009D3D13">
        <w:rPr>
          <w:rFonts w:ascii="Times New Roman" w:hAnsi="Times New Roman"/>
          <w:b/>
          <w:noProof/>
          <w:sz w:val="24"/>
          <w:szCs w:val="24"/>
          <w:lang w:val="en-US" w:eastAsia="lt-LT"/>
        </w:rPr>
        <w:t>APŠVIETIMO TINKLŲ</w:t>
      </w:r>
      <w:r w:rsidR="009D3D13" w:rsidRPr="009D3D13">
        <w:rPr>
          <w:rFonts w:ascii="Times New Roman" w:hAnsi="Times New Roman"/>
          <w:b/>
          <w:i/>
          <w:iCs/>
          <w:noProof/>
          <w:sz w:val="24"/>
          <w:szCs w:val="24"/>
          <w:lang w:val="en-US" w:eastAsia="lt-LT"/>
        </w:rPr>
        <w:t xml:space="preserve"> </w:t>
      </w:r>
      <w:r w:rsidR="00CA1F80">
        <w:rPr>
          <w:rFonts w:ascii="Times New Roman" w:hAnsi="Times New Roman"/>
          <w:b/>
          <w:noProof/>
          <w:sz w:val="24"/>
          <w:szCs w:val="24"/>
          <w:lang w:eastAsia="lt-LT"/>
        </w:rPr>
        <w:t xml:space="preserve">ĮRENGIMO </w:t>
      </w:r>
      <w:r w:rsidR="00047026" w:rsidRPr="00D02C55">
        <w:rPr>
          <w:rFonts w:ascii="Times New Roman" w:hAnsi="Times New Roman"/>
          <w:b/>
          <w:noProof/>
          <w:sz w:val="24"/>
          <w:szCs w:val="24"/>
          <w:lang w:eastAsia="lt-LT"/>
        </w:rPr>
        <w:t>DARBAI</w:t>
      </w:r>
      <w:r w:rsidR="00E33EE9" w:rsidRPr="00D02C55">
        <w:rPr>
          <w:rFonts w:ascii="Times New Roman" w:hAnsi="Times New Roman"/>
          <w:b/>
          <w:noProof/>
          <w:sz w:val="24"/>
          <w:szCs w:val="24"/>
          <w:lang w:eastAsia="lt-LT"/>
        </w:rPr>
        <w:t xml:space="preserve"> </w:t>
      </w:r>
    </w:p>
    <w:bookmarkEnd w:id="0"/>
    <w:p w14:paraId="11857283" w14:textId="77777777" w:rsidR="00473976" w:rsidRPr="00D02C55" w:rsidRDefault="00473976" w:rsidP="003A0A38">
      <w:pPr>
        <w:spacing w:after="0" w:line="240" w:lineRule="auto"/>
        <w:jc w:val="both"/>
        <w:rPr>
          <w:rFonts w:ascii="Times New Roman" w:hAnsi="Times New Roman"/>
          <w:b/>
          <w:kern w:val="32"/>
          <w:sz w:val="24"/>
          <w:szCs w:val="24"/>
        </w:rPr>
      </w:pPr>
    </w:p>
    <w:p w14:paraId="4786B3AD" w14:textId="03806F47" w:rsidR="00473976" w:rsidRPr="00D02C55" w:rsidRDefault="00473976" w:rsidP="003A0A38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  <w:r w:rsidRPr="00D02C55">
        <w:rPr>
          <w:rFonts w:ascii="Times New Roman" w:hAnsi="Times New Roman"/>
          <w:b/>
          <w:bCs/>
          <w:kern w:val="32"/>
          <w:sz w:val="24"/>
          <w:szCs w:val="24"/>
        </w:rPr>
        <w:t xml:space="preserve">TECHNINĖ </w:t>
      </w:r>
      <w:r w:rsidR="00E33EE9" w:rsidRPr="00D02C55">
        <w:rPr>
          <w:rFonts w:ascii="Times New Roman" w:hAnsi="Times New Roman"/>
          <w:b/>
          <w:bCs/>
          <w:kern w:val="32"/>
          <w:sz w:val="24"/>
          <w:szCs w:val="24"/>
        </w:rPr>
        <w:t>UŽDUOTIS</w:t>
      </w:r>
    </w:p>
    <w:p w14:paraId="400E515A" w14:textId="77777777" w:rsidR="00473976" w:rsidRPr="00D02C55" w:rsidRDefault="00473976" w:rsidP="003A0A38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14:paraId="1AD6F39B" w14:textId="08D10C86" w:rsidR="00473976" w:rsidRPr="008E5235" w:rsidRDefault="00473976" w:rsidP="000042C0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kern w:val="32"/>
          <w:sz w:val="24"/>
          <w:szCs w:val="24"/>
        </w:rPr>
      </w:pPr>
      <w:r w:rsidRPr="008E5235">
        <w:rPr>
          <w:rFonts w:ascii="Times New Roman" w:hAnsi="Times New Roman"/>
          <w:kern w:val="32"/>
          <w:sz w:val="24"/>
          <w:szCs w:val="24"/>
        </w:rPr>
        <w:t>Rangovas turi pildyti elektroninį statybos darbų žurnalą;</w:t>
      </w:r>
    </w:p>
    <w:p w14:paraId="36923016" w14:textId="6EECB5CE" w:rsidR="00C642A4" w:rsidRPr="00D02C55" w:rsidRDefault="00473976" w:rsidP="000042C0">
      <w:pPr>
        <w:pStyle w:val="Sraopastraipa"/>
        <w:numPr>
          <w:ilvl w:val="0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02C55">
        <w:rPr>
          <w:rFonts w:ascii="Times New Roman" w:hAnsi="Times New Roman"/>
          <w:sz w:val="24"/>
          <w:szCs w:val="24"/>
        </w:rPr>
        <w:t xml:space="preserve">Atliekant apšvietimo įrengimo darbus Rangovas turi vadovautis parengtu </w:t>
      </w:r>
      <w:r w:rsidR="008243DF" w:rsidRPr="008243DF">
        <w:rPr>
          <w:rFonts w:ascii="Times New Roman" w:hAnsi="Times New Roman"/>
          <w:sz w:val="24"/>
          <w:szCs w:val="24"/>
        </w:rPr>
        <w:t>Balninkų g. ir Lelijų g., Balninkų k., Nemunaičio sen., Alytaus r. sav.</w:t>
      </w:r>
      <w:r w:rsidR="005F67E4">
        <w:rPr>
          <w:rFonts w:ascii="Times New Roman" w:hAnsi="Times New Roman"/>
          <w:sz w:val="24"/>
          <w:szCs w:val="24"/>
        </w:rPr>
        <w:t xml:space="preserve"> </w:t>
      </w:r>
      <w:r w:rsidR="00934D2D" w:rsidRPr="00934D2D">
        <w:rPr>
          <w:rFonts w:ascii="Times New Roman" w:hAnsi="Times New Roman"/>
          <w:sz w:val="24"/>
          <w:szCs w:val="24"/>
        </w:rPr>
        <w:t>apšvietimo tinklų</w:t>
      </w:r>
      <w:r w:rsidR="00EF43F8" w:rsidRPr="00EF43F8">
        <w:rPr>
          <w:rFonts w:ascii="Times New Roman" w:hAnsi="Times New Roman"/>
          <w:sz w:val="24"/>
          <w:szCs w:val="24"/>
        </w:rPr>
        <w:t xml:space="preserve"> statybos</w:t>
      </w:r>
      <w:r w:rsidR="00411A84">
        <w:rPr>
          <w:rFonts w:ascii="Times New Roman" w:hAnsi="Times New Roman"/>
          <w:sz w:val="24"/>
          <w:szCs w:val="24"/>
        </w:rPr>
        <w:t xml:space="preserve"> </w:t>
      </w:r>
      <w:r w:rsidRPr="00D02C55">
        <w:rPr>
          <w:rFonts w:ascii="Times New Roman" w:hAnsi="Times New Roman"/>
          <w:sz w:val="24"/>
          <w:szCs w:val="24"/>
        </w:rPr>
        <w:t xml:space="preserve">projektu (pridedamas) bei šiais </w:t>
      </w:r>
      <w:r w:rsidR="008719D8" w:rsidRPr="00D02C55">
        <w:rPr>
          <w:rFonts w:ascii="Times New Roman" w:hAnsi="Times New Roman"/>
          <w:sz w:val="24"/>
          <w:szCs w:val="24"/>
        </w:rPr>
        <w:t>patikslintais</w:t>
      </w:r>
      <w:r w:rsidRPr="00D02C55">
        <w:rPr>
          <w:rFonts w:ascii="Times New Roman" w:hAnsi="Times New Roman"/>
          <w:sz w:val="24"/>
          <w:szCs w:val="24"/>
        </w:rPr>
        <w:t xml:space="preserve"> </w:t>
      </w:r>
      <w:r w:rsidR="00F613AD" w:rsidRPr="00D02C55">
        <w:rPr>
          <w:rFonts w:ascii="Times New Roman" w:hAnsi="Times New Roman"/>
          <w:sz w:val="24"/>
          <w:szCs w:val="24"/>
        </w:rPr>
        <w:t xml:space="preserve">privalomais </w:t>
      </w:r>
      <w:r w:rsidRPr="00D02C55">
        <w:rPr>
          <w:rFonts w:ascii="Times New Roman" w:hAnsi="Times New Roman"/>
          <w:sz w:val="24"/>
          <w:szCs w:val="24"/>
        </w:rPr>
        <w:t>reikalavimais</w:t>
      </w:r>
      <w:r w:rsidR="00E714BC" w:rsidRPr="00D02C55">
        <w:rPr>
          <w:rFonts w:ascii="Times New Roman" w:hAnsi="Times New Roman"/>
          <w:sz w:val="24"/>
          <w:szCs w:val="24"/>
        </w:rPr>
        <w:t xml:space="preserve"> šviestuvams ir jų valdymo įrangai</w:t>
      </w:r>
      <w:r w:rsidRPr="00D02C55">
        <w:rPr>
          <w:rFonts w:ascii="Times New Roman" w:hAnsi="Times New Roman"/>
          <w:sz w:val="24"/>
          <w:szCs w:val="24"/>
        </w:rPr>
        <w:t xml:space="preserve">: </w:t>
      </w:r>
      <w:r w:rsidR="008832E0" w:rsidRPr="00D02C55">
        <w:rPr>
          <w:rFonts w:ascii="Times New Roman" w:hAnsi="Times New Roman"/>
          <w:sz w:val="24"/>
          <w:szCs w:val="24"/>
        </w:rPr>
        <w:t>pa</w:t>
      </w:r>
      <w:r w:rsidR="00A52313" w:rsidRPr="00D02C55">
        <w:rPr>
          <w:rFonts w:ascii="Times New Roman" w:hAnsi="Times New Roman"/>
          <w:sz w:val="24"/>
          <w:szCs w:val="24"/>
        </w:rPr>
        <w:t>tikslinti</w:t>
      </w:r>
      <w:r w:rsidR="008832E0" w:rsidRPr="00D02C55">
        <w:rPr>
          <w:rFonts w:ascii="Times New Roman" w:hAnsi="Times New Roman"/>
          <w:sz w:val="24"/>
          <w:szCs w:val="24"/>
        </w:rPr>
        <w:t xml:space="preserve"> privalomi </w:t>
      </w:r>
      <w:r w:rsidRPr="00D02C55">
        <w:rPr>
          <w:rFonts w:ascii="Times New Roman" w:hAnsi="Times New Roman"/>
          <w:sz w:val="24"/>
          <w:szCs w:val="24"/>
        </w:rPr>
        <w:t xml:space="preserve">šviestuvo techniniai parametrai (1 lentelė), </w:t>
      </w:r>
      <w:r w:rsidR="007F6DEF" w:rsidRPr="00D02C55">
        <w:rPr>
          <w:rFonts w:ascii="Times New Roman" w:hAnsi="Times New Roman"/>
          <w:sz w:val="24"/>
          <w:szCs w:val="24"/>
        </w:rPr>
        <w:t xml:space="preserve">reikalavimai šviestuvų valdikliams </w:t>
      </w:r>
      <w:r w:rsidR="00E33EE9" w:rsidRPr="00D02C55">
        <w:rPr>
          <w:rFonts w:ascii="Times New Roman" w:hAnsi="Times New Roman"/>
          <w:sz w:val="24"/>
          <w:szCs w:val="24"/>
        </w:rPr>
        <w:t xml:space="preserve">(2 lentelė), </w:t>
      </w:r>
      <w:r w:rsidR="00B97490" w:rsidRPr="00D02C55">
        <w:rPr>
          <w:rFonts w:ascii="Times New Roman" w:hAnsi="Times New Roman"/>
          <w:sz w:val="24"/>
          <w:szCs w:val="24"/>
        </w:rPr>
        <w:t xml:space="preserve">reikalavimai šviestuvų valdikliams su </w:t>
      </w:r>
      <w:r w:rsidR="007F6DEF" w:rsidRPr="00D02C55">
        <w:rPr>
          <w:rFonts w:ascii="Times New Roman" w:hAnsi="Times New Roman"/>
          <w:sz w:val="24"/>
          <w:szCs w:val="24"/>
        </w:rPr>
        <w:t>duomenų perdavimo funkcija</w:t>
      </w:r>
      <w:r w:rsidR="00B97490" w:rsidRPr="00D02C55">
        <w:rPr>
          <w:rFonts w:ascii="Times New Roman" w:hAnsi="Times New Roman"/>
          <w:sz w:val="24"/>
          <w:szCs w:val="24"/>
        </w:rPr>
        <w:t xml:space="preserve"> (3 lentelė), </w:t>
      </w:r>
      <w:r w:rsidR="007F6DEF" w:rsidRPr="00D02C55">
        <w:rPr>
          <w:rFonts w:ascii="Times New Roman" w:hAnsi="Times New Roman"/>
          <w:sz w:val="24"/>
          <w:szCs w:val="24"/>
        </w:rPr>
        <w:t xml:space="preserve">reikalavimai šviestuvų judesio jutikliai </w:t>
      </w:r>
      <w:r w:rsidR="00047026" w:rsidRPr="00D02C55">
        <w:rPr>
          <w:rFonts w:ascii="Times New Roman" w:hAnsi="Times New Roman"/>
          <w:sz w:val="24"/>
          <w:szCs w:val="24"/>
        </w:rPr>
        <w:t xml:space="preserve">(4 lentelė), </w:t>
      </w:r>
      <w:r w:rsidR="007F6DEF" w:rsidRPr="00D02C55">
        <w:rPr>
          <w:rFonts w:ascii="Times New Roman" w:hAnsi="Times New Roman"/>
          <w:sz w:val="24"/>
          <w:szCs w:val="24"/>
        </w:rPr>
        <w:t xml:space="preserve">reikalavimai apšvietimo valdymo sistemai </w:t>
      </w:r>
      <w:r w:rsidR="00047026" w:rsidRPr="00D02C55">
        <w:rPr>
          <w:rFonts w:ascii="Times New Roman" w:hAnsi="Times New Roman"/>
          <w:sz w:val="24"/>
          <w:szCs w:val="24"/>
        </w:rPr>
        <w:t>(5 lentelė).</w:t>
      </w:r>
    </w:p>
    <w:p w14:paraId="4AE6CA72" w14:textId="396D8E97" w:rsidR="00473976" w:rsidRPr="00D02C55" w:rsidRDefault="00473976" w:rsidP="003A0A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2C55">
        <w:rPr>
          <w:rFonts w:ascii="Times New Roman" w:hAnsi="Times New Roman"/>
          <w:sz w:val="24"/>
          <w:szCs w:val="24"/>
        </w:rPr>
        <w:t xml:space="preserve">1 lentelė. </w:t>
      </w:r>
      <w:r w:rsidR="008832E0" w:rsidRPr="00D02C55">
        <w:rPr>
          <w:rFonts w:ascii="Times New Roman" w:hAnsi="Times New Roman"/>
          <w:sz w:val="24"/>
          <w:szCs w:val="24"/>
        </w:rPr>
        <w:t>Pa</w:t>
      </w:r>
      <w:r w:rsidR="008719D8" w:rsidRPr="00D02C55">
        <w:rPr>
          <w:rFonts w:ascii="Times New Roman" w:hAnsi="Times New Roman"/>
          <w:sz w:val="24"/>
          <w:szCs w:val="24"/>
        </w:rPr>
        <w:t>tikslinti</w:t>
      </w:r>
      <w:r w:rsidR="008832E0" w:rsidRPr="00D02C55">
        <w:rPr>
          <w:rFonts w:ascii="Times New Roman" w:hAnsi="Times New Roman"/>
          <w:sz w:val="24"/>
          <w:szCs w:val="24"/>
        </w:rPr>
        <w:t xml:space="preserve"> privalomi š</w:t>
      </w:r>
      <w:r w:rsidRPr="00D02C55">
        <w:rPr>
          <w:rFonts w:ascii="Times New Roman" w:hAnsi="Times New Roman"/>
          <w:sz w:val="24"/>
          <w:szCs w:val="24"/>
        </w:rPr>
        <w:t>viestuvo techniniai parametrai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1418"/>
        <w:gridCol w:w="6232"/>
        <w:gridCol w:w="1984"/>
      </w:tblGrid>
      <w:tr w:rsidR="008506F0" w:rsidRPr="00D02C55" w14:paraId="2F3DFB03" w14:textId="77777777" w:rsidTr="002248EA">
        <w:trPr>
          <w:trHeight w:val="230"/>
          <w:tblHeader/>
        </w:trPr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7FF52D1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32" w:type="dxa"/>
            <w:vMerge w:val="restart"/>
            <w:shd w:val="clear" w:color="auto" w:fill="D9D9D9" w:themeFill="background1" w:themeFillShade="D9"/>
            <w:vAlign w:val="center"/>
          </w:tcPr>
          <w:p w14:paraId="6918CD4D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>Rodiklis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7788F7B5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  <w:t>Siūlomų prekių techniniai parametrai (įrašyti)</w:t>
            </w:r>
          </w:p>
        </w:tc>
      </w:tr>
      <w:tr w:rsidR="008506F0" w:rsidRPr="00D02C55" w14:paraId="326A34C2" w14:textId="77777777" w:rsidTr="002248EA">
        <w:trPr>
          <w:trHeight w:val="230"/>
          <w:tblHeader/>
        </w:trPr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77D36453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6232" w:type="dxa"/>
            <w:vMerge/>
            <w:shd w:val="clear" w:color="auto" w:fill="D9D9D9" w:themeFill="background1" w:themeFillShade="D9"/>
            <w:vAlign w:val="center"/>
          </w:tcPr>
          <w:p w14:paraId="03BCB3E0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vMerge/>
            <w:shd w:val="clear" w:color="auto" w:fill="D9D9D9" w:themeFill="background1" w:themeFillShade="D9"/>
            <w:vAlign w:val="center"/>
          </w:tcPr>
          <w:p w14:paraId="794D4541" w14:textId="77777777" w:rsidR="008506F0" w:rsidRPr="00D02C55" w:rsidRDefault="008506F0" w:rsidP="003A0A38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8506F0" w:rsidRPr="00D02C55" w14:paraId="2E9B4806" w14:textId="77777777" w:rsidTr="002248EA">
        <w:tc>
          <w:tcPr>
            <w:tcW w:w="1418" w:type="dxa"/>
            <w:vAlign w:val="center"/>
          </w:tcPr>
          <w:p w14:paraId="2F76BCFC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Šviestuvų temdymo moduliai</w:t>
            </w:r>
          </w:p>
        </w:tc>
        <w:tc>
          <w:tcPr>
            <w:tcW w:w="6232" w:type="dxa"/>
            <w:vAlign w:val="center"/>
          </w:tcPr>
          <w:p w14:paraId="793CE676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Savaiminė temdymo galimybė kiekvienam šviestuvui. Temdymo diapazonas nuo 0 iki 100 proc. DALI, D4I valdymo sąsaja per 2xZhaga jungtis išoriniams įrenginiams, kurti pritemdymo scenarijus.</w:t>
            </w:r>
          </w:p>
        </w:tc>
        <w:tc>
          <w:tcPr>
            <w:tcW w:w="1984" w:type="dxa"/>
          </w:tcPr>
          <w:p w14:paraId="306231AF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506F0" w:rsidRPr="00D02C55" w14:paraId="3C0A07BA" w14:textId="77777777" w:rsidTr="002248EA">
        <w:tc>
          <w:tcPr>
            <w:tcW w:w="1418" w:type="dxa"/>
            <w:vAlign w:val="center"/>
          </w:tcPr>
          <w:p w14:paraId="1626D883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Šviestuvų maitinimo šaltinis</w:t>
            </w:r>
          </w:p>
        </w:tc>
        <w:tc>
          <w:tcPr>
            <w:tcW w:w="6232" w:type="dxa"/>
            <w:vAlign w:val="center"/>
          </w:tcPr>
          <w:p w14:paraId="6B4CD442" w14:textId="04D1221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Palaikantys DALI D4i sąsają, leidžiančią sklandžiai reguliuoti šviestuvo galią diapazone nuo 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0% iki 100% vardinės galios 1% tikslumu. Turi palaikyti  NFC technologiją.</w:t>
            </w:r>
          </w:p>
        </w:tc>
        <w:tc>
          <w:tcPr>
            <w:tcW w:w="1984" w:type="dxa"/>
          </w:tcPr>
          <w:p w14:paraId="7D77CA6E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506F0" w:rsidRPr="00D02C55" w14:paraId="7680FD8B" w14:textId="77777777" w:rsidTr="002248EA">
        <w:tc>
          <w:tcPr>
            <w:tcW w:w="1418" w:type="dxa"/>
            <w:vAlign w:val="center"/>
          </w:tcPr>
          <w:p w14:paraId="067829C9" w14:textId="5C54659A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Korpusas ir jo konstrukcija</w:t>
            </w:r>
          </w:p>
        </w:tc>
        <w:tc>
          <w:tcPr>
            <w:tcW w:w="6232" w:type="dxa"/>
            <w:vAlign w:val="center"/>
          </w:tcPr>
          <w:p w14:paraId="4AE7B88B" w14:textId="10C08EF9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Šviestuvo korpuse turi būti sumontuotos dvi standartizuotos ZHAGA jungtys, viena šviestuvo viršutinėje dalyje, kita šviestuvo apatinėje dalyje.</w:t>
            </w:r>
          </w:p>
        </w:tc>
        <w:tc>
          <w:tcPr>
            <w:tcW w:w="1984" w:type="dxa"/>
          </w:tcPr>
          <w:p w14:paraId="369F9300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506F0" w:rsidRPr="00D02C55" w14:paraId="4ECED4AB" w14:textId="77777777" w:rsidTr="002248EA">
        <w:tc>
          <w:tcPr>
            <w:tcW w:w="1418" w:type="dxa"/>
            <w:vAlign w:val="center"/>
          </w:tcPr>
          <w:p w14:paraId="0DDF0C25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Šviestuvų sertifikatai ir atitikties deklaracijos</w:t>
            </w:r>
          </w:p>
        </w:tc>
        <w:tc>
          <w:tcPr>
            <w:tcW w:w="6232" w:type="dxa"/>
            <w:vAlign w:val="center"/>
          </w:tcPr>
          <w:p w14:paraId="40E1B0DF" w14:textId="77777777" w:rsidR="008506F0" w:rsidRPr="00D02C55" w:rsidRDefault="008506F0" w:rsidP="00D31FE9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Gamintojo ISO9001 ir ISO14001; CE deklaracija; ENEC sertifikatas ir ENEC+ kokybės licencija; Žemos įtampos direktyva 73/23/EEG:EN60598-1 ir EN60598-2-3; Elektromagnetinio lauko atitikmuo direktyvoms EN55015, EN61547, EN61000-3-2 ir EN61000-3-3, EN62031; </w:t>
            </w:r>
            <w:proofErr w:type="spellStart"/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>RoHS</w:t>
            </w:r>
            <w:proofErr w:type="spellEnd"/>
            <w:r w:rsidRPr="00D02C55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direktyvos atitikimas 2008/354//E reikalavimams; ZHAGA D4i sertifikatas.</w:t>
            </w:r>
          </w:p>
        </w:tc>
        <w:tc>
          <w:tcPr>
            <w:tcW w:w="1984" w:type="dxa"/>
          </w:tcPr>
          <w:p w14:paraId="625A6EFF" w14:textId="77777777" w:rsidR="00294FE0" w:rsidRPr="00D5661B" w:rsidRDefault="00294FE0" w:rsidP="00294FE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D4B3527" w14:textId="426129EB" w:rsidR="008506F0" w:rsidRPr="00D02C55" w:rsidRDefault="00294FE0" w:rsidP="00294FE0">
            <w:pPr>
              <w:pStyle w:val="Sraopastraipa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</w:tbl>
    <w:p w14:paraId="1EC58960" w14:textId="77777777" w:rsidR="003A0A38" w:rsidRPr="00D02C55" w:rsidRDefault="003A0A38" w:rsidP="003A0A3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3D9AAAC" w14:textId="77777777" w:rsidR="003A0A38" w:rsidRPr="00D02C55" w:rsidRDefault="003A0A38" w:rsidP="003A0A3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037162F3" w14:textId="1F060B92" w:rsidR="007F6DEF" w:rsidRPr="00D02C55" w:rsidRDefault="007F6DEF" w:rsidP="00B910E2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D02C55">
        <w:rPr>
          <w:rFonts w:ascii="Times New Roman" w:hAnsi="Times New Roman"/>
          <w:sz w:val="24"/>
          <w:szCs w:val="24"/>
        </w:rPr>
        <w:t>2 lentelė. Reikalavimai šviestuvų valdikliams</w:t>
      </w:r>
    </w:p>
    <w:tbl>
      <w:tblPr>
        <w:tblStyle w:val="Lentelstinklelis2"/>
        <w:tblpPr w:leftFromText="180" w:rightFromText="180" w:vertAnchor="text" w:tblpXSpec="center" w:tblpY="1"/>
        <w:tblOverlap w:val="never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558"/>
        <w:gridCol w:w="4254"/>
        <w:gridCol w:w="2126"/>
      </w:tblGrid>
      <w:tr w:rsidR="00D5661B" w:rsidRPr="00D5661B" w14:paraId="5B3A5718" w14:textId="77777777" w:rsidTr="000042C0">
        <w:trPr>
          <w:tblHeader/>
          <w:jc w:val="center"/>
        </w:trPr>
        <w:tc>
          <w:tcPr>
            <w:tcW w:w="1696" w:type="dxa"/>
            <w:shd w:val="clear" w:color="auto" w:fill="E8E8E8"/>
            <w:vAlign w:val="center"/>
          </w:tcPr>
          <w:p w14:paraId="74FB62D6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Veiklos kriterijus</w:t>
            </w:r>
          </w:p>
        </w:tc>
        <w:tc>
          <w:tcPr>
            <w:tcW w:w="1558" w:type="dxa"/>
            <w:shd w:val="clear" w:color="auto" w:fill="E8E8E8"/>
            <w:vAlign w:val="center"/>
          </w:tcPr>
          <w:p w14:paraId="6B0B9683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Reikalavimas</w:t>
            </w:r>
          </w:p>
        </w:tc>
        <w:tc>
          <w:tcPr>
            <w:tcW w:w="4254" w:type="dxa"/>
            <w:shd w:val="clear" w:color="auto" w:fill="E8E8E8"/>
            <w:vAlign w:val="center"/>
          </w:tcPr>
          <w:p w14:paraId="369A19A6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Rodiklis</w:t>
            </w:r>
          </w:p>
        </w:tc>
        <w:tc>
          <w:tcPr>
            <w:tcW w:w="2126" w:type="dxa"/>
            <w:shd w:val="clear" w:color="auto" w:fill="E8E8E8"/>
            <w:vAlign w:val="center"/>
          </w:tcPr>
          <w:p w14:paraId="50D6CB1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Siūlomų prekių techniniai parametrai</w:t>
            </w:r>
          </w:p>
        </w:tc>
      </w:tr>
      <w:tr w:rsidR="00D5661B" w:rsidRPr="00D5661B" w14:paraId="34A2CF10" w14:textId="77777777" w:rsidTr="000042C0">
        <w:trPr>
          <w:jc w:val="center"/>
        </w:trPr>
        <w:tc>
          <w:tcPr>
            <w:tcW w:w="1696" w:type="dxa"/>
            <w:vMerge w:val="restart"/>
          </w:tcPr>
          <w:p w14:paraId="682C2BD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19A446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63DE0F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EECC94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CF3D605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16658C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E68B7C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25E9C3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29BC4D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CDC5F2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D3B213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076818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D54727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B7DED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7ED1DB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Reikalavimai šviestuvų valdikliams </w:t>
            </w:r>
          </w:p>
          <w:p w14:paraId="5E9920F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3925B6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0C956B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70F505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18AE2F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832F0A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5463FD5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30BA51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0C8837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767996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C761C2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A23D6E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BF8D6C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4546F3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63BE33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2891C2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1092C0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7EBD78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DB90B1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EEC885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3384B6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1B16C6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E97CDC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0BD7A6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00C61C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60F21C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D8E872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FE4038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967ADB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97FA88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1724B7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8C511A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B4236B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638D8A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DDD3D6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B89D9C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275ACE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777A19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37EFF1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A0DCC8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E6C64E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F67060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E5ED87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7A22CB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39AFF7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C464F0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0532D4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1FD56F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EFED8F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1D73AC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8F6A81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99BD61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Reikalavimai šviestuvų valdikliams </w:t>
            </w:r>
          </w:p>
        </w:tc>
        <w:tc>
          <w:tcPr>
            <w:tcW w:w="1558" w:type="dxa"/>
            <w:vAlign w:val="center"/>
          </w:tcPr>
          <w:p w14:paraId="4A72339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Šviestuvų valdiklių jungties tipas</w:t>
            </w:r>
          </w:p>
        </w:tc>
        <w:tc>
          <w:tcPr>
            <w:tcW w:w="4254" w:type="dxa"/>
            <w:vAlign w:val="center"/>
          </w:tcPr>
          <w:p w14:paraId="1A31D08B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jungiami prie šviestuvo naudojant </w:t>
            </w:r>
            <w:proofErr w:type="spellStart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book</w:t>
            </w:r>
            <w:proofErr w:type="spellEnd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18 tipo jungtį.</w:t>
            </w:r>
          </w:p>
        </w:tc>
        <w:tc>
          <w:tcPr>
            <w:tcW w:w="2126" w:type="dxa"/>
            <w:vAlign w:val="center"/>
          </w:tcPr>
          <w:p w14:paraId="041A302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BB6F35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4074E0CC" w14:textId="77777777" w:rsidTr="000042C0">
        <w:trPr>
          <w:jc w:val="center"/>
        </w:trPr>
        <w:tc>
          <w:tcPr>
            <w:tcW w:w="1696" w:type="dxa"/>
            <w:vMerge/>
          </w:tcPr>
          <w:p w14:paraId="64EE6CF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29D6CC2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 maitinimas</w:t>
            </w:r>
          </w:p>
        </w:tc>
        <w:tc>
          <w:tcPr>
            <w:tcW w:w="4254" w:type="dxa"/>
            <w:vAlign w:val="center"/>
          </w:tcPr>
          <w:p w14:paraId="30636D4E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būti maitinamas naudojant DALI D4i standarto šviestuvo maitinimo šaltinį (+-24V)</w:t>
            </w:r>
          </w:p>
        </w:tc>
        <w:tc>
          <w:tcPr>
            <w:tcW w:w="2126" w:type="dxa"/>
            <w:vAlign w:val="center"/>
          </w:tcPr>
          <w:p w14:paraId="71652173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4FC129FE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CB7D667" w14:textId="77777777" w:rsidTr="000042C0">
        <w:trPr>
          <w:jc w:val="center"/>
        </w:trPr>
        <w:tc>
          <w:tcPr>
            <w:tcW w:w="1696" w:type="dxa"/>
            <w:vMerge/>
          </w:tcPr>
          <w:p w14:paraId="5EE0BEA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6F0031D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Atsparumas aplinkos poveikiui</w:t>
            </w:r>
          </w:p>
        </w:tc>
        <w:tc>
          <w:tcPr>
            <w:tcW w:w="4254" w:type="dxa"/>
            <w:vAlign w:val="center"/>
          </w:tcPr>
          <w:p w14:paraId="7584DF04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Ne mažiau IP66.</w:t>
            </w:r>
          </w:p>
        </w:tc>
        <w:tc>
          <w:tcPr>
            <w:tcW w:w="2126" w:type="dxa"/>
            <w:vAlign w:val="center"/>
          </w:tcPr>
          <w:p w14:paraId="056C9B76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294ACD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B73AD56" w14:textId="77777777" w:rsidTr="000042C0">
        <w:trPr>
          <w:jc w:val="center"/>
        </w:trPr>
        <w:tc>
          <w:tcPr>
            <w:tcW w:w="1696" w:type="dxa"/>
            <w:vMerge/>
          </w:tcPr>
          <w:p w14:paraId="03A8F18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0346A62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Konstrukcinės atsparumo smūginėms apkrovoms klasė</w:t>
            </w:r>
          </w:p>
        </w:tc>
        <w:tc>
          <w:tcPr>
            <w:tcW w:w="4254" w:type="dxa"/>
            <w:vAlign w:val="center"/>
          </w:tcPr>
          <w:p w14:paraId="48610567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Ne mažiau IK08.</w:t>
            </w:r>
          </w:p>
        </w:tc>
        <w:tc>
          <w:tcPr>
            <w:tcW w:w="2126" w:type="dxa"/>
            <w:vAlign w:val="center"/>
          </w:tcPr>
          <w:p w14:paraId="4D191517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64AE793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2A2D28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4C7C8DD9" w14:textId="77777777" w:rsidTr="000042C0">
        <w:trPr>
          <w:jc w:val="center"/>
        </w:trPr>
        <w:tc>
          <w:tcPr>
            <w:tcW w:w="1696" w:type="dxa"/>
            <w:vMerge/>
          </w:tcPr>
          <w:p w14:paraId="6FCD6E5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370FF9D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Darbo temperatūrų reikalavimas</w:t>
            </w:r>
          </w:p>
        </w:tc>
        <w:tc>
          <w:tcPr>
            <w:tcW w:w="4254" w:type="dxa"/>
            <w:vAlign w:val="center"/>
          </w:tcPr>
          <w:p w14:paraId="7AF0AA4F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Atitinkantis klimatines sąlygas, bet ne mažesnis nei temperatūrų diapazonas: - 30 + 50 </w:t>
            </w:r>
            <w:proofErr w:type="spellStart"/>
            <w:r w:rsidRPr="00D5661B">
              <w:rPr>
                <w:rFonts w:ascii="Times New Roman" w:hAnsi="Times New Roman"/>
                <w:kern w:val="2"/>
                <w:sz w:val="20"/>
                <w:szCs w:val="20"/>
                <w:vertAlign w:val="superscript"/>
                <w:lang w:val="lt-LT"/>
                <w14:ligatures w14:val="standardContextual"/>
              </w:rPr>
              <w:t>o</w:t>
            </w:r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C</w:t>
            </w:r>
            <w:proofErr w:type="spellEnd"/>
            <w:r w:rsidRPr="00D5661B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</w:t>
            </w:r>
          </w:p>
        </w:tc>
        <w:tc>
          <w:tcPr>
            <w:tcW w:w="2126" w:type="dxa"/>
            <w:vAlign w:val="center"/>
          </w:tcPr>
          <w:p w14:paraId="7DC2868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AB0676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7987ED82" w14:textId="77777777" w:rsidTr="000042C0">
        <w:trPr>
          <w:jc w:val="center"/>
        </w:trPr>
        <w:tc>
          <w:tcPr>
            <w:tcW w:w="1696" w:type="dxa"/>
            <w:vMerge/>
          </w:tcPr>
          <w:p w14:paraId="615AA21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6D09012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Naujų valdiklių instaliavimas ir registravimas į apšvietimo valdymo sistemą</w:t>
            </w:r>
          </w:p>
        </w:tc>
        <w:tc>
          <w:tcPr>
            <w:tcW w:w="4254" w:type="dxa"/>
            <w:vAlign w:val="center"/>
          </w:tcPr>
          <w:p w14:paraId="0D7F1DBA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Ant šviestuvų valdiklių turi būti atvaizduoti unikalūs identifikaciniai numeriai skaičių ir kamera skenuojamų kodų pavidalu. Lengva instaliacija, nereikia papildomų įrankių (</w:t>
            </w:r>
            <w:proofErr w:type="spellStart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Plug&amp;Play</w:t>
            </w:r>
            <w:proofErr w:type="spellEnd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principu). Prietaisai užregistruojami į apšvietimo valdymo sistemą naudojant tam skirtą aplikaciją, kuri automatiškai nustato gaminių lokaciją.</w:t>
            </w: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0A41E2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325466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80B033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321114B7" w14:textId="77777777" w:rsidTr="000042C0">
        <w:trPr>
          <w:jc w:val="center"/>
        </w:trPr>
        <w:tc>
          <w:tcPr>
            <w:tcW w:w="1696" w:type="dxa"/>
            <w:vMerge/>
          </w:tcPr>
          <w:p w14:paraId="6EAF96D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613A0D9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B2769B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20E620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CD2646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E62AB6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A571D4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0B453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A6A7A8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1EBBEC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C02861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7DE601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91862D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funkcionalumas</w:t>
            </w:r>
          </w:p>
          <w:p w14:paraId="4795875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E75B9E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56A57B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BB4F90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8C255B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25E1A1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F1C372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87BC51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F4567A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4A6A9D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8CE891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66D944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4DEB46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EBC6F6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E0A5F9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F010A6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5F8EB4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96614A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C32FDB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B3B63E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073ED9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A6E392E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194819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93B41B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154B924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A4F3B4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CA1B1D1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22F658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funkcionalumas</w:t>
            </w:r>
          </w:p>
        </w:tc>
        <w:tc>
          <w:tcPr>
            <w:tcW w:w="4254" w:type="dxa"/>
          </w:tcPr>
          <w:p w14:paraId="0F577A16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FF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įjungimas ir išjungimas turi būti valdomas per DALI sąsają, naudojant centralizuotą apšvietimo valdymo platformą nenutraukiant elektros energijos tiekimo 24/7.</w:t>
            </w:r>
          </w:p>
        </w:tc>
        <w:tc>
          <w:tcPr>
            <w:tcW w:w="2126" w:type="dxa"/>
          </w:tcPr>
          <w:p w14:paraId="29F369BF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A2C905C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AAB20AC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1710EFF9" w14:textId="77777777" w:rsidTr="000042C0">
        <w:trPr>
          <w:jc w:val="center"/>
        </w:trPr>
        <w:tc>
          <w:tcPr>
            <w:tcW w:w="1696" w:type="dxa"/>
            <w:vMerge/>
          </w:tcPr>
          <w:p w14:paraId="54548D1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4AB598A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33AEFF36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Užtikrinama šviestuvų valdiklių tarpusavio komunikacija ir nuolatinio ryšio sukūrimas su kaimyninių šviestuvų valdikliais.</w:t>
            </w:r>
          </w:p>
        </w:tc>
        <w:tc>
          <w:tcPr>
            <w:tcW w:w="2126" w:type="dxa"/>
          </w:tcPr>
          <w:p w14:paraId="5B8196B4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57F5A4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1B7E675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46124011" w14:textId="77777777" w:rsidTr="000042C0">
        <w:trPr>
          <w:jc w:val="center"/>
        </w:trPr>
        <w:tc>
          <w:tcPr>
            <w:tcW w:w="1696" w:type="dxa"/>
            <w:vMerge/>
          </w:tcPr>
          <w:p w14:paraId="7FD2D24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55DA288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2D511C4E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užtikrina galimybę komunikuoti su kitais prie to paties šviestuvo </w:t>
            </w:r>
            <w:proofErr w:type="spellStart"/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 jungtimi prijungtais įrenginiais.</w:t>
            </w:r>
          </w:p>
        </w:tc>
        <w:tc>
          <w:tcPr>
            <w:tcW w:w="2126" w:type="dxa"/>
          </w:tcPr>
          <w:p w14:paraId="1BB7B9B3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25BC7F0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E46C8FD" w14:textId="77777777" w:rsidTr="000042C0">
        <w:trPr>
          <w:jc w:val="center"/>
        </w:trPr>
        <w:tc>
          <w:tcPr>
            <w:tcW w:w="1696" w:type="dxa"/>
            <w:vMerge/>
          </w:tcPr>
          <w:p w14:paraId="4530AC02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7743AEC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7A94F144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Valdikliai turi galimybę veikti pagal astronominį ir saulės tekėjimo / leidimosi laiką.</w:t>
            </w:r>
          </w:p>
        </w:tc>
        <w:tc>
          <w:tcPr>
            <w:tcW w:w="2126" w:type="dxa"/>
          </w:tcPr>
          <w:p w14:paraId="3EF8A9F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649DA16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0E6DA09" w14:textId="77777777" w:rsidTr="000042C0">
        <w:trPr>
          <w:jc w:val="center"/>
        </w:trPr>
        <w:tc>
          <w:tcPr>
            <w:tcW w:w="1696" w:type="dxa"/>
            <w:vMerge/>
          </w:tcPr>
          <w:p w14:paraId="4C99451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2EFC392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1D29770B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Galimybė valdiklių pagalba keisti šviestuvo apšvietimo intensyvumą diapazone nuo 0% iki 100%</w:t>
            </w:r>
          </w:p>
        </w:tc>
        <w:tc>
          <w:tcPr>
            <w:tcW w:w="2126" w:type="dxa"/>
          </w:tcPr>
          <w:p w14:paraId="5AC8ADB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FBD6C0B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C370A77" w14:textId="77777777" w:rsidTr="000042C0">
        <w:trPr>
          <w:jc w:val="center"/>
        </w:trPr>
        <w:tc>
          <w:tcPr>
            <w:tcW w:w="1696" w:type="dxa"/>
            <w:vMerge/>
          </w:tcPr>
          <w:p w14:paraId="33473E4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4F2DB7D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27F263FF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Galimybė naudoti duomenis iš išorinių apšvietos matavimo įrenginių (matavimai atliekami </w:t>
            </w:r>
            <w:proofErr w:type="spellStart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lux</w:t>
            </w:r>
            <w:proofErr w:type="spellEnd"/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matavimo vienetais), ir pagal gautus duomenis kurti individualius apšvietimo scenarijus.</w:t>
            </w:r>
          </w:p>
        </w:tc>
        <w:tc>
          <w:tcPr>
            <w:tcW w:w="2126" w:type="dxa"/>
          </w:tcPr>
          <w:p w14:paraId="18F3084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E924392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18994801" w14:textId="77777777" w:rsidTr="000042C0">
        <w:trPr>
          <w:jc w:val="center"/>
        </w:trPr>
        <w:tc>
          <w:tcPr>
            <w:tcW w:w="1696" w:type="dxa"/>
            <w:vMerge/>
          </w:tcPr>
          <w:p w14:paraId="3699233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2BE8C05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1B2858EC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galimybę perduoti duomenis reikalingus šviestuvo ir valdiklio būsenos nustatymui.</w:t>
            </w:r>
          </w:p>
        </w:tc>
        <w:tc>
          <w:tcPr>
            <w:tcW w:w="2126" w:type="dxa"/>
          </w:tcPr>
          <w:p w14:paraId="75E824DB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65DADE91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549C0C22" w14:textId="77777777" w:rsidTr="000042C0">
        <w:trPr>
          <w:trHeight w:val="526"/>
          <w:jc w:val="center"/>
        </w:trPr>
        <w:tc>
          <w:tcPr>
            <w:tcW w:w="1696" w:type="dxa"/>
            <w:vMerge/>
          </w:tcPr>
          <w:p w14:paraId="4B6C145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0C5566D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4356E4AD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galimybę nustatyti ir reguliuoti apšvietimo atstumą iki ir už judančio objekto ir apšvietimo intensyvumą, pagal duomenis iš išorinio judesio jutiklio.</w:t>
            </w:r>
          </w:p>
        </w:tc>
        <w:tc>
          <w:tcPr>
            <w:tcW w:w="2126" w:type="dxa"/>
          </w:tcPr>
          <w:p w14:paraId="778F9EE1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BCF1C5E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3801B17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2286CFCC" w14:textId="77777777" w:rsidTr="000042C0">
        <w:trPr>
          <w:jc w:val="center"/>
        </w:trPr>
        <w:tc>
          <w:tcPr>
            <w:tcW w:w="1696" w:type="dxa"/>
            <w:vMerge/>
          </w:tcPr>
          <w:p w14:paraId="018A58D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</w:tcPr>
          <w:p w14:paraId="337EAD1C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1DC3DAD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Turi būti užtikrinta, kad dingus ryšiui su centriniu serveriu valdikliai veiks autonomiškai:</w:t>
            </w:r>
          </w:p>
          <w:p w14:paraId="7DAE92D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Visos pagrindinės valdiklio valdymo funkcijos (įjungimas/išjungimas, pritemdymas, scenarijų vykdymas) tęstų darbą autonomiškai.</w:t>
            </w:r>
          </w:p>
          <w:p w14:paraId="2D448E4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Adaptyvus apšvietimas veiktų remiantis vietiniais judesio ir apšviestumo jutikliais bei iš anksto nustatytais scenarijais:</w:t>
            </w:r>
          </w:p>
          <w:p w14:paraId="3A11EF6A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    - šviesos intensyvumas turi būti reguliuojamas pagal žmonių buvimą (pagal objekto judėjimą atitinkamai didinamas arba mažinamas apšvietimo lygis);</w:t>
            </w:r>
          </w:p>
          <w:p w14:paraId="5D1A77E5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    - apšviestumo jutikliai koreguoja šviesos intensyvumą atsižvelgiant į natūralią šviesą, kad būtų palaikytas tik reikalingas papildomas apšvietimas;</w:t>
            </w:r>
          </w:p>
          <w:p w14:paraId="5B76637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    - laiko grafikai, paros režimai ir kiti energijos taupymo scenarijai vykdomi automatiškai.</w:t>
            </w:r>
          </w:p>
          <w:p w14:paraId="67D356F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Informacija apie užfiksuotą judesį būtų perduodama kaimyniniams valdikliams, kad būtų užtikrintas sklandus apšvietimo perėjimas tarp zonų ir optimalus energijos vartojimas.</w:t>
            </w:r>
          </w:p>
          <w:p w14:paraId="31BC80E0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Naudotojo nustatyti scenarijai ir parametrai būtų saugomi vietinėje atmintyje, kad sistema galėtų veikti savarankiškai.</w:t>
            </w:r>
          </w:p>
          <w:p w14:paraId="27A8D2DD" w14:textId="77777777" w:rsidR="00D5661B" w:rsidRPr="00D5661B" w:rsidRDefault="00D5661B" w:rsidP="00D5661B">
            <w:pPr>
              <w:spacing w:after="0" w:line="240" w:lineRule="auto"/>
              <w:ind w:left="720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2126" w:type="dxa"/>
          </w:tcPr>
          <w:p w14:paraId="12AE38B0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0C1679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6AFF9C6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80E0CA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E092A55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0A9BE6C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AFAE9E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6EC5DB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4D44007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DA8FA67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69AFB30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2A33C00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B41A47E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0503D1A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1450BA6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0DCCD3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1B9EF75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52416A0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484B7A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3C521467" w14:textId="77777777" w:rsidTr="000042C0">
        <w:trPr>
          <w:jc w:val="center"/>
        </w:trPr>
        <w:tc>
          <w:tcPr>
            <w:tcW w:w="1696" w:type="dxa"/>
            <w:vMerge/>
          </w:tcPr>
          <w:p w14:paraId="28DE9343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7DC4361F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programinės įrangos atnaujinimas</w:t>
            </w:r>
          </w:p>
        </w:tc>
        <w:tc>
          <w:tcPr>
            <w:tcW w:w="4254" w:type="dxa"/>
          </w:tcPr>
          <w:p w14:paraId="6B5D39B9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valdiklių programinės įrangos atnaujinimas turi būti vykdomas nuotoliniu būdu. Atnaujinimas turi būti šifruotas. </w:t>
            </w:r>
          </w:p>
        </w:tc>
        <w:tc>
          <w:tcPr>
            <w:tcW w:w="2126" w:type="dxa"/>
          </w:tcPr>
          <w:p w14:paraId="727C4EC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5E77A7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21F76ADB" w14:textId="77777777" w:rsidTr="000042C0">
        <w:trPr>
          <w:jc w:val="center"/>
        </w:trPr>
        <w:tc>
          <w:tcPr>
            <w:tcW w:w="1696" w:type="dxa"/>
            <w:vMerge/>
          </w:tcPr>
          <w:p w14:paraId="33E57FD9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066665C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komunikacijos</w:t>
            </w:r>
          </w:p>
        </w:tc>
        <w:tc>
          <w:tcPr>
            <w:tcW w:w="4254" w:type="dxa"/>
          </w:tcPr>
          <w:p w14:paraId="215C2545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valdikliai turi turėti RF868Mhz komunikaciją.</w:t>
            </w:r>
          </w:p>
        </w:tc>
        <w:tc>
          <w:tcPr>
            <w:tcW w:w="2126" w:type="dxa"/>
          </w:tcPr>
          <w:p w14:paraId="670E799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15B988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45476840" w14:textId="77777777" w:rsidTr="000042C0">
        <w:trPr>
          <w:jc w:val="center"/>
        </w:trPr>
        <w:tc>
          <w:tcPr>
            <w:tcW w:w="1696" w:type="dxa"/>
            <w:vMerge/>
          </w:tcPr>
          <w:p w14:paraId="2BCB180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  <w:vAlign w:val="center"/>
          </w:tcPr>
          <w:p w14:paraId="2966389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51959D1F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valdiklių tarpusavio radijo komunikacija šifruota nemažiau nei 128 bitų ilgio šifravimo raktu.</w:t>
            </w:r>
          </w:p>
        </w:tc>
        <w:tc>
          <w:tcPr>
            <w:tcW w:w="2126" w:type="dxa"/>
          </w:tcPr>
          <w:p w14:paraId="73B984CD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F28A4CF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7DCE2DD9" w14:textId="77777777" w:rsidTr="000042C0">
        <w:trPr>
          <w:jc w:val="center"/>
        </w:trPr>
        <w:tc>
          <w:tcPr>
            <w:tcW w:w="1696" w:type="dxa"/>
            <w:vMerge/>
          </w:tcPr>
          <w:p w14:paraId="5F772AE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  <w:vAlign w:val="center"/>
          </w:tcPr>
          <w:p w14:paraId="79B6B177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70C32D98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valdikliai vykdo komunikaciją su serveriu nustatymams, apskaitai, gedimų kontrolei, apšvietimo profilių realizavimui.</w:t>
            </w:r>
          </w:p>
        </w:tc>
        <w:tc>
          <w:tcPr>
            <w:tcW w:w="2126" w:type="dxa"/>
          </w:tcPr>
          <w:p w14:paraId="0AB91ABB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A432ACF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5BEB745F" w14:textId="77777777" w:rsidTr="000042C0">
        <w:trPr>
          <w:jc w:val="center"/>
        </w:trPr>
        <w:tc>
          <w:tcPr>
            <w:tcW w:w="1696" w:type="dxa"/>
            <w:vMerge/>
          </w:tcPr>
          <w:p w14:paraId="69C1D856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Merge/>
            <w:vAlign w:val="center"/>
          </w:tcPr>
          <w:p w14:paraId="4C955AD8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4" w:type="dxa"/>
          </w:tcPr>
          <w:p w14:paraId="18CAF720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turi tarpusavyje komunikuoti RF 868 MHz (ar kitu tinkamu) dažniu, sudarydami vidinį tinklą, veikiantį tinklinės topologijos (angl. </w:t>
            </w:r>
            <w:proofErr w:type="spellStart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mesh</w:t>
            </w:r>
            <w:proofErr w:type="spellEnd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) režimu. Tinklas turi būti </w:t>
            </w:r>
            <w:proofErr w:type="spellStart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saviorganizuojantis</w:t>
            </w:r>
            <w:proofErr w:type="spellEnd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, šifruotas, gebantis palaikyti kelis prieigos taškus (angl. </w:t>
            </w:r>
            <w:proofErr w:type="spellStart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border</w:t>
            </w:r>
            <w:proofErr w:type="spellEnd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routers</w:t>
            </w:r>
            <w:proofErr w:type="spellEnd"/>
            <w:r w:rsidRPr="00D5661B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), o kiekvienas valdiklis turi būti pasiekiamas per daugiau nei vieną prieigos tašką, kad būtų garantuotas stabilus valdymo ir stebėsenos funkcionalumas.</w:t>
            </w:r>
          </w:p>
        </w:tc>
        <w:tc>
          <w:tcPr>
            <w:tcW w:w="2126" w:type="dxa"/>
          </w:tcPr>
          <w:p w14:paraId="3D773442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11C9335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04819D1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9133E4B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2499526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D5661B" w:rsidRPr="00D5661B" w14:paraId="010D205A" w14:textId="77777777" w:rsidTr="000042C0">
        <w:trPr>
          <w:jc w:val="center"/>
        </w:trPr>
        <w:tc>
          <w:tcPr>
            <w:tcW w:w="1696" w:type="dxa"/>
            <w:vMerge/>
          </w:tcPr>
          <w:p w14:paraId="72DC48BD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8" w:type="dxa"/>
            <w:vAlign w:val="center"/>
          </w:tcPr>
          <w:p w14:paraId="07DF5E8B" w14:textId="77777777" w:rsidR="00D5661B" w:rsidRPr="00D5661B" w:rsidRDefault="00D5661B" w:rsidP="00D5661B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standartai</w:t>
            </w:r>
          </w:p>
        </w:tc>
        <w:tc>
          <w:tcPr>
            <w:tcW w:w="4254" w:type="dxa"/>
          </w:tcPr>
          <w:p w14:paraId="1F3AB2EB" w14:textId="77777777" w:rsidR="00D5661B" w:rsidRPr="00D5661B" w:rsidRDefault="00D5661B" w:rsidP="00D5661B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valdikliai turi atitikti CE, RED standartus: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 xml:space="preserve">EN IEC 62368-1:2020 + A11:2020 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301 489-1 V2.2.3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301 489-3 V2.3.2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301 489-52 V1.2.1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300 220-1 V3.1.1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300 220-2 V3.2.1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301 908-1 V15.2.1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301 908-13 V13.2.1</w:t>
            </w: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EN IEC 62311:2020</w:t>
            </w:r>
          </w:p>
        </w:tc>
        <w:tc>
          <w:tcPr>
            <w:tcW w:w="2126" w:type="dxa"/>
          </w:tcPr>
          <w:p w14:paraId="29EEB298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45464729" w14:textId="77777777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D5661B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  <w:p w14:paraId="04530C57" w14:textId="602E9DE0" w:rsidR="00D5661B" w:rsidRPr="00D5661B" w:rsidRDefault="00D5661B" w:rsidP="00D5661B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</w:tbl>
    <w:p w14:paraId="3D84E1E7" w14:textId="77777777" w:rsidR="00D5661B" w:rsidRPr="00D02C55" w:rsidRDefault="00D5661B" w:rsidP="00D566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F75F8" w14:textId="77777777" w:rsidR="007E223B" w:rsidRPr="00D02C55" w:rsidRDefault="007E223B" w:rsidP="007E223B">
      <w:pPr>
        <w:spacing w:after="0" w:line="240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2A8D49E6" w14:textId="1D467E14" w:rsidR="007E223B" w:rsidRPr="00D02C55" w:rsidRDefault="007E223B" w:rsidP="007E223B">
      <w:pPr>
        <w:spacing w:after="0" w:line="240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D02C55">
        <w:rPr>
          <w:rFonts w:ascii="Times New Roman" w:hAnsi="Times New Roman"/>
          <w:kern w:val="2"/>
          <w:sz w:val="24"/>
          <w:szCs w:val="24"/>
          <w14:ligatures w14:val="standardContextual"/>
        </w:rPr>
        <w:t>3 lentelė. Reikalavimai šviestuvų valdikliams su duomenų perdavimo funkcija</w:t>
      </w:r>
    </w:p>
    <w:tbl>
      <w:tblPr>
        <w:tblStyle w:val="Lentelstinklelis1"/>
        <w:tblpPr w:leftFromText="180" w:rightFromText="180" w:vertAnchor="text" w:tblpXSpec="center" w:tblpY="1"/>
        <w:tblOverlap w:val="never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559"/>
        <w:gridCol w:w="4253"/>
        <w:gridCol w:w="1842"/>
      </w:tblGrid>
      <w:tr w:rsidR="00B620ED" w:rsidRPr="00B620ED" w14:paraId="456F05E4" w14:textId="77777777" w:rsidTr="00B620ED">
        <w:trPr>
          <w:tblHeader/>
          <w:jc w:val="center"/>
        </w:trPr>
        <w:tc>
          <w:tcPr>
            <w:tcW w:w="1696" w:type="dxa"/>
            <w:shd w:val="clear" w:color="auto" w:fill="E8E8E8"/>
            <w:vAlign w:val="center"/>
          </w:tcPr>
          <w:p w14:paraId="229455A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Veiklos kriterijus</w:t>
            </w:r>
          </w:p>
        </w:tc>
        <w:tc>
          <w:tcPr>
            <w:tcW w:w="1559" w:type="dxa"/>
            <w:shd w:val="clear" w:color="auto" w:fill="E8E8E8"/>
            <w:vAlign w:val="center"/>
          </w:tcPr>
          <w:p w14:paraId="2FA76813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Reikalavimas</w:t>
            </w:r>
          </w:p>
        </w:tc>
        <w:tc>
          <w:tcPr>
            <w:tcW w:w="4253" w:type="dxa"/>
            <w:shd w:val="clear" w:color="auto" w:fill="E8E8E8"/>
            <w:vAlign w:val="center"/>
          </w:tcPr>
          <w:p w14:paraId="44506A68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Rodiklis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5C0EF8E3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 w:cs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Siūlomų prekių techniniai parametrai</w:t>
            </w:r>
          </w:p>
        </w:tc>
      </w:tr>
      <w:tr w:rsidR="00B620ED" w:rsidRPr="00B620ED" w14:paraId="2233B1B0" w14:textId="77777777" w:rsidTr="00C7435A">
        <w:trPr>
          <w:jc w:val="center"/>
        </w:trPr>
        <w:tc>
          <w:tcPr>
            <w:tcW w:w="1696" w:type="dxa"/>
            <w:vMerge w:val="restart"/>
          </w:tcPr>
          <w:p w14:paraId="4F41C51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9338F6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A10254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873C32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C119FC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B2A95F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BC8F3CF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73E316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7FB0BB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4FD8BF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DEFD28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46B932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DF9156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7B7399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29CED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Reikalavimai šviestuvų valdikliams su duomenų 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perdavimo funkcija</w:t>
            </w:r>
          </w:p>
          <w:p w14:paraId="2DF0FEA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165F96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01DA8C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CDFC0C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EF2F214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93D98B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B17BDA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8D48DF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D56D06F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68729C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A59E5D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5D37EA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DAF088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EE671B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9A64C1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C1952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C84A72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80C774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148B3F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D2DB88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E0D78D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5E1FA4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94AEFF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AE410A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A6076B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1B646D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8C82DC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28FE67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588E9D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07F1CE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7843D8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73A4B8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2712754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9FEA9D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9C58AC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A698B3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E0ED38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9D51F3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01B0D3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8D601F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5155F2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FF13F6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51933A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2DF1EC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4AB957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592281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3199C4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88C3A8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6AE7A3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E92EDF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5BFE4B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DB6EF7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Reikalavimai šviestuvų valdikliams su duomenų perdavimo funkcija</w:t>
            </w:r>
          </w:p>
          <w:p w14:paraId="4E0E7D8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1CF28C3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Šviestuvų valdiklių su duomenų perdavimo funkcija jungties tipas</w:t>
            </w:r>
          </w:p>
        </w:tc>
        <w:tc>
          <w:tcPr>
            <w:tcW w:w="4253" w:type="dxa"/>
            <w:vAlign w:val="center"/>
          </w:tcPr>
          <w:p w14:paraId="1FF92013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jungiami prie šviestuvo naudojant </w:t>
            </w:r>
            <w:proofErr w:type="spellStart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book</w:t>
            </w:r>
            <w:proofErr w:type="spellEnd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18 tipo jungtį.</w:t>
            </w:r>
          </w:p>
        </w:tc>
        <w:tc>
          <w:tcPr>
            <w:tcW w:w="1842" w:type="dxa"/>
            <w:vAlign w:val="center"/>
          </w:tcPr>
          <w:p w14:paraId="33503E7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87817BF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7515DAB4" w14:textId="77777777" w:rsidTr="00C7435A">
        <w:trPr>
          <w:jc w:val="center"/>
        </w:trPr>
        <w:tc>
          <w:tcPr>
            <w:tcW w:w="1696" w:type="dxa"/>
            <w:vMerge/>
          </w:tcPr>
          <w:p w14:paraId="3434625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58AE50D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su duomenų perdavimo funkcija ir  maitinimas</w:t>
            </w:r>
          </w:p>
        </w:tc>
        <w:tc>
          <w:tcPr>
            <w:tcW w:w="4253" w:type="dxa"/>
            <w:vAlign w:val="center"/>
          </w:tcPr>
          <w:p w14:paraId="325F4342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būti maitinamas naudojant DALI D4i standarto šviestuvo maitinimo šaltinį (+-24V)</w:t>
            </w:r>
          </w:p>
        </w:tc>
        <w:tc>
          <w:tcPr>
            <w:tcW w:w="1842" w:type="dxa"/>
            <w:vAlign w:val="center"/>
          </w:tcPr>
          <w:p w14:paraId="0BA412F2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0778AD5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3039A4A" w14:textId="77777777" w:rsidTr="00C7435A">
        <w:trPr>
          <w:jc w:val="center"/>
        </w:trPr>
        <w:tc>
          <w:tcPr>
            <w:tcW w:w="1696" w:type="dxa"/>
            <w:vMerge/>
          </w:tcPr>
          <w:p w14:paraId="6274169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1A945C2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Atsparumas aplinkos poveikiui</w:t>
            </w:r>
          </w:p>
        </w:tc>
        <w:tc>
          <w:tcPr>
            <w:tcW w:w="4253" w:type="dxa"/>
            <w:vAlign w:val="center"/>
          </w:tcPr>
          <w:p w14:paraId="48A10DB4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Ne mažiau IP66.</w:t>
            </w:r>
          </w:p>
        </w:tc>
        <w:tc>
          <w:tcPr>
            <w:tcW w:w="1842" w:type="dxa"/>
            <w:vAlign w:val="center"/>
          </w:tcPr>
          <w:p w14:paraId="659786AF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116CEAE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01C196DD" w14:textId="77777777" w:rsidTr="00C7435A">
        <w:trPr>
          <w:jc w:val="center"/>
        </w:trPr>
        <w:tc>
          <w:tcPr>
            <w:tcW w:w="1696" w:type="dxa"/>
            <w:vMerge/>
          </w:tcPr>
          <w:p w14:paraId="1C42E1C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4CDB520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Konstrukcinės atsparumo smūginėms </w:t>
            </w: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apkrovoms klasė</w:t>
            </w:r>
          </w:p>
        </w:tc>
        <w:tc>
          <w:tcPr>
            <w:tcW w:w="4253" w:type="dxa"/>
            <w:vAlign w:val="center"/>
          </w:tcPr>
          <w:p w14:paraId="14E690C4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Ne mažiau IK08.</w:t>
            </w:r>
          </w:p>
        </w:tc>
        <w:tc>
          <w:tcPr>
            <w:tcW w:w="1842" w:type="dxa"/>
            <w:vAlign w:val="center"/>
          </w:tcPr>
          <w:p w14:paraId="6C4C67D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A38D5F6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1750807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15725453" w14:textId="77777777" w:rsidTr="00C7435A">
        <w:trPr>
          <w:jc w:val="center"/>
        </w:trPr>
        <w:tc>
          <w:tcPr>
            <w:tcW w:w="1696" w:type="dxa"/>
            <w:vMerge/>
          </w:tcPr>
          <w:p w14:paraId="7AC5571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7FAB7C5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Darbo temperatūrų reikalavimas</w:t>
            </w:r>
          </w:p>
        </w:tc>
        <w:tc>
          <w:tcPr>
            <w:tcW w:w="4253" w:type="dxa"/>
            <w:vAlign w:val="center"/>
          </w:tcPr>
          <w:p w14:paraId="70CDD285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Atitinkantis klimatines sąlygas, bet ne mažesnis nei temperatūrų diapazonas: - 30 + 50 </w:t>
            </w:r>
            <w:proofErr w:type="spellStart"/>
            <w:r w:rsidRPr="00B620ED">
              <w:rPr>
                <w:rFonts w:ascii="Times New Roman" w:hAnsi="Times New Roman"/>
                <w:kern w:val="2"/>
                <w:sz w:val="20"/>
                <w:szCs w:val="20"/>
                <w:vertAlign w:val="superscript"/>
                <w:lang w:val="lt-LT"/>
                <w14:ligatures w14:val="standardContextual"/>
              </w:rPr>
              <w:t>o</w:t>
            </w:r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C</w:t>
            </w:r>
            <w:proofErr w:type="spellEnd"/>
            <w:r w:rsidRPr="00B620ED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</w:t>
            </w:r>
          </w:p>
        </w:tc>
        <w:tc>
          <w:tcPr>
            <w:tcW w:w="1842" w:type="dxa"/>
            <w:vAlign w:val="center"/>
          </w:tcPr>
          <w:p w14:paraId="23122C15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B31ED8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5E0347F" w14:textId="77777777" w:rsidTr="00C7435A">
        <w:trPr>
          <w:jc w:val="center"/>
        </w:trPr>
        <w:tc>
          <w:tcPr>
            <w:tcW w:w="1696" w:type="dxa"/>
            <w:vMerge/>
          </w:tcPr>
          <w:p w14:paraId="5E19A66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19129F3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Naujų valdiklių su duomenų perdavimo funkcija instaliavimas ir registravimas į apšvietimo valdymo sistemą</w:t>
            </w:r>
          </w:p>
        </w:tc>
        <w:tc>
          <w:tcPr>
            <w:tcW w:w="4253" w:type="dxa"/>
            <w:vAlign w:val="center"/>
          </w:tcPr>
          <w:p w14:paraId="7A736908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Ant šviestuvų valdiklių su duomenų perdavimo funkcija turi būti atvaizduoti unikalūs identifikaciniai numeriai skaičių ir kamera skenuojamų kodų pavidalu. Lengva instaliacija, nereikia papildomų įrankių (</w:t>
            </w:r>
            <w:proofErr w:type="spellStart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Plug&amp;Play</w:t>
            </w:r>
            <w:proofErr w:type="spellEnd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principu). Prietaisai užregistruojami į apšvietimo valdymo sistemą naudojant tam skirtą aplikaciją, kuri automatiškai nustato gaminių lokaciją.</w:t>
            </w: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Valdiklių su duomenų perdavimo funkcija išdėstymas – bent kas 400 metrų. </w:t>
            </w:r>
          </w:p>
        </w:tc>
        <w:tc>
          <w:tcPr>
            <w:tcW w:w="1842" w:type="dxa"/>
            <w:vAlign w:val="center"/>
          </w:tcPr>
          <w:p w14:paraId="3891468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84A7A3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C40328E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43B7D831" w14:textId="77777777" w:rsidTr="00C7435A">
        <w:trPr>
          <w:jc w:val="center"/>
        </w:trPr>
        <w:tc>
          <w:tcPr>
            <w:tcW w:w="1696" w:type="dxa"/>
            <w:vMerge/>
          </w:tcPr>
          <w:p w14:paraId="654ACDD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1C7ABE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41AFEA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AA94EC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su duomenų perdavimo funkcija funkcionalumas</w:t>
            </w:r>
          </w:p>
          <w:p w14:paraId="4C3FF28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C48BEFF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DD42A2F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F6315F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74F0DE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ED5615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03005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D31185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F7FC2C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3605231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13DEBF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F92CF4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E26C17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FD9CB6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15DE77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A85BC8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79EBAB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F6E14B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D1D6B3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CA7532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A2D08A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CB0FB0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C9C178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B3EC4C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20EAA2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7A2810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03D6BE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F61156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su duomenų perdavimo funkcija funkcionalumas</w:t>
            </w:r>
          </w:p>
        </w:tc>
        <w:tc>
          <w:tcPr>
            <w:tcW w:w="4253" w:type="dxa"/>
          </w:tcPr>
          <w:p w14:paraId="2A7F92EC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FF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įjungimas ir išjungimas turi būti valdomas per DALI sąsają, naudojant centralizuotą apšvietimo valdymo platformą nenutraukiant elektros energijos tiekimo 24/7.</w:t>
            </w:r>
          </w:p>
        </w:tc>
        <w:tc>
          <w:tcPr>
            <w:tcW w:w="1842" w:type="dxa"/>
          </w:tcPr>
          <w:p w14:paraId="7B343488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CD04C94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E16975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56F7920" w14:textId="77777777" w:rsidTr="00C7435A">
        <w:trPr>
          <w:jc w:val="center"/>
        </w:trPr>
        <w:tc>
          <w:tcPr>
            <w:tcW w:w="1696" w:type="dxa"/>
            <w:vMerge/>
          </w:tcPr>
          <w:p w14:paraId="7EED9AA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7C52E41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130618A9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Užtikrinama šviestuvų valdiklių tarpusavio komunikacija ir nuolatinio ryšio sukūrimas su kaimyninių šviestuvų valdikliais.</w:t>
            </w:r>
          </w:p>
        </w:tc>
        <w:tc>
          <w:tcPr>
            <w:tcW w:w="1842" w:type="dxa"/>
          </w:tcPr>
          <w:p w14:paraId="6BECC31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5043B7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E6936FE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453F0D88" w14:textId="77777777" w:rsidTr="00C7435A">
        <w:trPr>
          <w:jc w:val="center"/>
        </w:trPr>
        <w:tc>
          <w:tcPr>
            <w:tcW w:w="1696" w:type="dxa"/>
            <w:vMerge/>
          </w:tcPr>
          <w:p w14:paraId="0086AC14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49841A8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6BF9E39D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užtikrina galimybę komunikuoti su kitais prie to paties šviestuvo </w:t>
            </w:r>
            <w:proofErr w:type="spellStart"/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 xml:space="preserve"> jungtimi prijungtais įrenginiais.</w:t>
            </w:r>
          </w:p>
        </w:tc>
        <w:tc>
          <w:tcPr>
            <w:tcW w:w="1842" w:type="dxa"/>
          </w:tcPr>
          <w:p w14:paraId="6C9DE30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01BCAC8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3A1C8F2E" w14:textId="77777777" w:rsidTr="00C7435A">
        <w:trPr>
          <w:jc w:val="center"/>
        </w:trPr>
        <w:tc>
          <w:tcPr>
            <w:tcW w:w="1696" w:type="dxa"/>
            <w:vMerge/>
          </w:tcPr>
          <w:p w14:paraId="1EF7011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04F07ED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193E77D0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Valdikliai turi galimybę veikti pagal astronominį ir saulės tekėjimo / leidimosi laiką.</w:t>
            </w:r>
          </w:p>
        </w:tc>
        <w:tc>
          <w:tcPr>
            <w:tcW w:w="1842" w:type="dxa"/>
          </w:tcPr>
          <w:p w14:paraId="0C873684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A43122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3DA60017" w14:textId="77777777" w:rsidTr="00C7435A">
        <w:trPr>
          <w:jc w:val="center"/>
        </w:trPr>
        <w:tc>
          <w:tcPr>
            <w:tcW w:w="1696" w:type="dxa"/>
            <w:vMerge/>
          </w:tcPr>
          <w:p w14:paraId="74AD9AD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431A471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6225B8C8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Galimybė valdiklių pagalba keisti šviestuvo apšvietimo intensyvumą diapazone nuo 0% iki 100%</w:t>
            </w:r>
          </w:p>
        </w:tc>
        <w:tc>
          <w:tcPr>
            <w:tcW w:w="1842" w:type="dxa"/>
          </w:tcPr>
          <w:p w14:paraId="5C2ECDC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A997EE6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4150F113" w14:textId="77777777" w:rsidTr="00C7435A">
        <w:trPr>
          <w:jc w:val="center"/>
        </w:trPr>
        <w:tc>
          <w:tcPr>
            <w:tcW w:w="1696" w:type="dxa"/>
            <w:vMerge/>
          </w:tcPr>
          <w:p w14:paraId="245E579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5252D82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4F3C2983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Galimybė naudoti duomenis iš išorinių apšvietos matavimo įrenginių (matavimai atliekami </w:t>
            </w:r>
            <w:proofErr w:type="spellStart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lux</w:t>
            </w:r>
            <w:proofErr w:type="spellEnd"/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matavimo vienetais), ir pagal gautus duomenis kurti individualius apšvietimo scenarijus.</w:t>
            </w:r>
          </w:p>
        </w:tc>
        <w:tc>
          <w:tcPr>
            <w:tcW w:w="1842" w:type="dxa"/>
          </w:tcPr>
          <w:p w14:paraId="52116765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0B8819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5C736C42" w14:textId="77777777" w:rsidTr="00C7435A">
        <w:trPr>
          <w:jc w:val="center"/>
        </w:trPr>
        <w:tc>
          <w:tcPr>
            <w:tcW w:w="1696" w:type="dxa"/>
            <w:vMerge/>
          </w:tcPr>
          <w:p w14:paraId="593D309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1B7E934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61E51D5A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galimybę perduoti duomenis reikalingus šviestuvo ir valdiklio būsenos nustatymui.</w:t>
            </w:r>
          </w:p>
        </w:tc>
        <w:tc>
          <w:tcPr>
            <w:tcW w:w="1842" w:type="dxa"/>
          </w:tcPr>
          <w:p w14:paraId="2DA3EAA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46CC94E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419108EE" w14:textId="77777777" w:rsidTr="00C7435A">
        <w:trPr>
          <w:trHeight w:val="526"/>
          <w:jc w:val="center"/>
        </w:trPr>
        <w:tc>
          <w:tcPr>
            <w:tcW w:w="1696" w:type="dxa"/>
            <w:vMerge/>
          </w:tcPr>
          <w:p w14:paraId="530CFF4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34AA6F2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097730FE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Šviestuvo valdiklis turi galimybę nustatyti ir reguliuoti apšvietimo atstumą iki ir už judančio objekto ir apšvietimo intensyvumą, pagal duomenis iš išorinio judesio jutiklio.</w:t>
            </w:r>
          </w:p>
        </w:tc>
        <w:tc>
          <w:tcPr>
            <w:tcW w:w="1842" w:type="dxa"/>
          </w:tcPr>
          <w:p w14:paraId="3C9F437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4ECC343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4A0BCBA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430700D" w14:textId="77777777" w:rsidTr="00C7435A">
        <w:trPr>
          <w:jc w:val="center"/>
        </w:trPr>
        <w:tc>
          <w:tcPr>
            <w:tcW w:w="1696" w:type="dxa"/>
            <w:vMerge/>
          </w:tcPr>
          <w:p w14:paraId="741079EF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3722C01C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4B30B66E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Turi būti užtikrinta, kad dingus ryšiui su centriniu serveriu valdikliai veiks autonomiškai:</w:t>
            </w:r>
          </w:p>
          <w:p w14:paraId="26D38602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Visos pagrindinės valdiklio valdymo funkcijos (įjungimas/išjungimas, pritemdymas, scenarijų vykdymas) tęstų darbą autonomiškai.</w:t>
            </w:r>
          </w:p>
          <w:p w14:paraId="1BC8D1B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Adaptyvus apšvietimas veiktų remiantis vietiniais judesio ir apšviestumo jutikliais bei iš anksto nustatytais scenarijais:</w:t>
            </w:r>
          </w:p>
          <w:p w14:paraId="02225544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    - šviesos intensyvumas turi būti reguliuojamas pagal žmonių buvimą (pagal objekto judėjimą atitinkamai didinamas arba mažinamas apšvietimo lygis);</w:t>
            </w:r>
          </w:p>
          <w:p w14:paraId="7A2DC7E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    - apšviestumo jutikliai koreguoja šviesos intensyvumą atsižvelgiant į natūralią šviesą, kad būtų palaikytas tik reikalingas papildomas apšvietimas;</w:t>
            </w:r>
          </w:p>
          <w:p w14:paraId="4959C2B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 xml:space="preserve">        - laiko grafikai, paros režimai ir kiti energijos taupymo scenarijai vykdomi automatiškai.</w:t>
            </w:r>
          </w:p>
          <w:p w14:paraId="13904F2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Informacija apie užfiksuotą judesį būtų perduodama kaimyniniams valdikliams, kad būtų užtikrintas sklandus apšvietimo perėjimas tarp zonų ir optimalus energijos vartojimas.</w:t>
            </w:r>
          </w:p>
          <w:p w14:paraId="2238A4F8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   • Naudotojo nustatyti scenarijai ir parametrai būtų saugomi vietinėje atmintyje, kad sistema galėtų veikti savarankiškai.</w:t>
            </w:r>
          </w:p>
          <w:p w14:paraId="721D7ADC" w14:textId="77777777" w:rsidR="00B620ED" w:rsidRPr="00B620ED" w:rsidRDefault="00B620ED" w:rsidP="00B620ED">
            <w:pPr>
              <w:spacing w:after="0" w:line="240" w:lineRule="auto"/>
              <w:ind w:left="720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842" w:type="dxa"/>
          </w:tcPr>
          <w:p w14:paraId="6FFF2FA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2BD4CD1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DCD1C6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0C7CA4D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BA8C3DC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46ED19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A6BAC07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FB37364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25E9DE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2DD0AFF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4FBD58B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C3C0777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5F7557F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7C97A6E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0E9D2FD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0550183E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CBEBE5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6C98015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E775CD1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lastRenderedPageBreak/>
              <w:t>(atitinka/neatitinka)</w:t>
            </w:r>
          </w:p>
        </w:tc>
      </w:tr>
      <w:tr w:rsidR="00B620ED" w:rsidRPr="00B620ED" w14:paraId="27BF4887" w14:textId="77777777" w:rsidTr="00C7435A">
        <w:trPr>
          <w:jc w:val="center"/>
        </w:trPr>
        <w:tc>
          <w:tcPr>
            <w:tcW w:w="1696" w:type="dxa"/>
            <w:vMerge/>
          </w:tcPr>
          <w:p w14:paraId="3147906B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217C2FB7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programinės įrangos atnaujinimas</w:t>
            </w:r>
          </w:p>
        </w:tc>
        <w:tc>
          <w:tcPr>
            <w:tcW w:w="4253" w:type="dxa"/>
          </w:tcPr>
          <w:p w14:paraId="343F46F7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valdiklių programinės įrangos atnaujinimas turi būti vykdomas nuotoliniu būdu. Atnaujinimas turi būti šifruotas. </w:t>
            </w:r>
          </w:p>
        </w:tc>
        <w:tc>
          <w:tcPr>
            <w:tcW w:w="1842" w:type="dxa"/>
          </w:tcPr>
          <w:p w14:paraId="7A923024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54DE10B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0453AB56" w14:textId="77777777" w:rsidTr="00C7435A">
        <w:trPr>
          <w:jc w:val="center"/>
        </w:trPr>
        <w:tc>
          <w:tcPr>
            <w:tcW w:w="1696" w:type="dxa"/>
            <w:vMerge/>
          </w:tcPr>
          <w:p w14:paraId="704E1B3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F77D5D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su duomenų perdavimo funkcija komunikacijos</w:t>
            </w:r>
          </w:p>
        </w:tc>
        <w:tc>
          <w:tcPr>
            <w:tcW w:w="4253" w:type="dxa"/>
          </w:tcPr>
          <w:p w14:paraId="33537B7D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valdikliai turi turėti RF ir LTE CAT-M1 / 2G komunikacijas.</w:t>
            </w:r>
          </w:p>
        </w:tc>
        <w:tc>
          <w:tcPr>
            <w:tcW w:w="1842" w:type="dxa"/>
          </w:tcPr>
          <w:p w14:paraId="24B530EB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6227E49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3FA5505" w14:textId="77777777" w:rsidTr="00C7435A">
        <w:trPr>
          <w:jc w:val="center"/>
        </w:trPr>
        <w:tc>
          <w:tcPr>
            <w:tcW w:w="1696" w:type="dxa"/>
            <w:vMerge/>
          </w:tcPr>
          <w:p w14:paraId="18E0BC8A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  <w:vAlign w:val="center"/>
          </w:tcPr>
          <w:p w14:paraId="00ADB9C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23BBB665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valdiklių tarpusavio radijo komunikacija šifruota nemažiau nei 128 bitų ilgio šifravimo raktu.</w:t>
            </w:r>
          </w:p>
        </w:tc>
        <w:tc>
          <w:tcPr>
            <w:tcW w:w="1842" w:type="dxa"/>
          </w:tcPr>
          <w:p w14:paraId="73510AA5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07124C00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66397696" w14:textId="77777777" w:rsidTr="00C7435A">
        <w:trPr>
          <w:jc w:val="center"/>
        </w:trPr>
        <w:tc>
          <w:tcPr>
            <w:tcW w:w="1696" w:type="dxa"/>
            <w:vMerge/>
          </w:tcPr>
          <w:p w14:paraId="159C836D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  <w:vAlign w:val="center"/>
          </w:tcPr>
          <w:p w14:paraId="306AA193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05C547FE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  <w:t>Šviestuvų valdikliai vykdo komunikaciją su serveriu nustatymams, apskaitai, gedimų kontrolei, apšvietimo profilių realizavimui.</w:t>
            </w:r>
          </w:p>
        </w:tc>
        <w:tc>
          <w:tcPr>
            <w:tcW w:w="1842" w:type="dxa"/>
          </w:tcPr>
          <w:p w14:paraId="7C67889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AF07807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33A62916" w14:textId="77777777" w:rsidTr="00C7435A">
        <w:trPr>
          <w:jc w:val="center"/>
        </w:trPr>
        <w:tc>
          <w:tcPr>
            <w:tcW w:w="1696" w:type="dxa"/>
            <w:vMerge/>
          </w:tcPr>
          <w:p w14:paraId="458754B9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Merge/>
            <w:vAlign w:val="center"/>
          </w:tcPr>
          <w:p w14:paraId="73CA1D30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3" w:type="dxa"/>
          </w:tcPr>
          <w:p w14:paraId="2BCEAE6E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color w:val="000000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Šviestuvų valdikliai turi tarpusavyje komunikuoti RF 868 MHz (ar kitu tinkamu) dažniu, sudarydami vidinį tinklą, veikiantį tinklinės topologijos (angl. </w:t>
            </w:r>
            <w:proofErr w:type="spellStart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mesh</w:t>
            </w:r>
            <w:proofErr w:type="spellEnd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) režimu. Tinklas turi būti </w:t>
            </w:r>
            <w:proofErr w:type="spellStart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saviorganizuojantis</w:t>
            </w:r>
            <w:proofErr w:type="spellEnd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, šifruotas, gebantis palaikyti kelis prieigos taškus (angl. </w:t>
            </w:r>
            <w:proofErr w:type="spellStart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border</w:t>
            </w:r>
            <w:proofErr w:type="spellEnd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routers</w:t>
            </w:r>
            <w:proofErr w:type="spellEnd"/>
            <w:r w:rsidRPr="00B620ED">
              <w:rPr>
                <w:rFonts w:ascii="Times New Roman" w:eastAsia="Aptos" w:hAnsi="Times New Roman" w:cs="Aptos"/>
                <w:kern w:val="2"/>
                <w:sz w:val="20"/>
                <w:szCs w:val="20"/>
                <w:lang w:val="lt-LT"/>
                <w14:ligatures w14:val="standardContextual"/>
              </w:rPr>
              <w:t>), o kiekvienas valdiklis turi būti pasiekiamas per daugiau nei vieną prieigos tašką, kad būtų garantuotas stabilus valdymo ir stebėsenos funkcionalumas.</w:t>
            </w:r>
          </w:p>
        </w:tc>
        <w:tc>
          <w:tcPr>
            <w:tcW w:w="1842" w:type="dxa"/>
          </w:tcPr>
          <w:p w14:paraId="33066C55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876BF77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1E9BEFC1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F498971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232A9516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B620ED" w:rsidRPr="00B620ED" w14:paraId="5EF64B1F" w14:textId="77777777" w:rsidTr="00C7435A">
        <w:trPr>
          <w:jc w:val="center"/>
        </w:trPr>
        <w:tc>
          <w:tcPr>
            <w:tcW w:w="1696" w:type="dxa"/>
            <w:vMerge/>
          </w:tcPr>
          <w:p w14:paraId="0882FE66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59" w:type="dxa"/>
            <w:vAlign w:val="center"/>
          </w:tcPr>
          <w:p w14:paraId="24663485" w14:textId="77777777" w:rsidR="00B620ED" w:rsidRPr="00B620ED" w:rsidRDefault="00B620ED" w:rsidP="00B620ED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valdiklių su duomenų perdavimo funkcija standartai</w:t>
            </w:r>
          </w:p>
        </w:tc>
        <w:tc>
          <w:tcPr>
            <w:tcW w:w="4253" w:type="dxa"/>
          </w:tcPr>
          <w:p w14:paraId="7FF9A542" w14:textId="77777777" w:rsidR="00B620ED" w:rsidRPr="00B620ED" w:rsidRDefault="00B620ED" w:rsidP="00B620ED">
            <w:pPr>
              <w:tabs>
                <w:tab w:val="left" w:pos="1067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Šviestuvų valdikliai turi atitikti CE, RED standartus: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 xml:space="preserve">EN IEC 62368-1:2020 + A11:2020 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301 489-1 V2.2.3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301 489-3 V2.3.2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301 489-52 V1.2.1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300 220-1 V3.1.1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300 220-2 V3.2.1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301 908-1 V15.2.1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ETSI EN 301 908-13 V13.2.1</w:t>
            </w: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br/>
              <w:t>EN IEC 62311:2020</w:t>
            </w:r>
          </w:p>
        </w:tc>
        <w:tc>
          <w:tcPr>
            <w:tcW w:w="1842" w:type="dxa"/>
          </w:tcPr>
          <w:p w14:paraId="2745D81A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D80327D" w14:textId="77777777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B620ED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  <w:p w14:paraId="632D6130" w14:textId="34BE5A9F" w:rsidR="00B620ED" w:rsidRPr="00B620ED" w:rsidRDefault="00B620ED" w:rsidP="00B620ED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</w:tr>
    </w:tbl>
    <w:p w14:paraId="54920560" w14:textId="77777777" w:rsidR="007F6DEF" w:rsidRPr="00D02C55" w:rsidRDefault="007F6DEF" w:rsidP="007F6DEF">
      <w:pPr>
        <w:spacing w:line="240" w:lineRule="auto"/>
        <w:rPr>
          <w:rFonts w:ascii="Times New Roman" w:hAnsi="Times New Roman"/>
          <w:sz w:val="20"/>
          <w:szCs w:val="20"/>
        </w:rPr>
      </w:pPr>
    </w:p>
    <w:p w14:paraId="01153E8C" w14:textId="66AB06D2" w:rsidR="00B97490" w:rsidRPr="00D02C55" w:rsidRDefault="007F6DEF" w:rsidP="00225680">
      <w:pPr>
        <w:spacing w:after="0" w:line="240" w:lineRule="auto"/>
        <w:ind w:firstLine="142"/>
        <w:rPr>
          <w:rFonts w:ascii="Times New Roman" w:eastAsiaTheme="minorHAnsi" w:hAnsi="Times New Roman"/>
          <w:sz w:val="24"/>
          <w:szCs w:val="24"/>
        </w:rPr>
      </w:pPr>
      <w:r w:rsidRPr="00D02C55">
        <w:rPr>
          <w:rFonts w:ascii="Times New Roman" w:eastAsiaTheme="minorHAnsi" w:hAnsi="Times New Roman"/>
          <w:sz w:val="24"/>
          <w:szCs w:val="24"/>
        </w:rPr>
        <w:t>4</w:t>
      </w:r>
      <w:r w:rsidR="00B97490" w:rsidRPr="00D02C55">
        <w:rPr>
          <w:rFonts w:ascii="Times New Roman" w:eastAsiaTheme="minorHAnsi" w:hAnsi="Times New Roman"/>
          <w:sz w:val="24"/>
          <w:szCs w:val="24"/>
        </w:rPr>
        <w:t xml:space="preserve"> lentelė. Reikalavimai šviestuvų judesio jutikliams</w:t>
      </w:r>
    </w:p>
    <w:tbl>
      <w:tblPr>
        <w:tblStyle w:val="Lentelstinklelis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4252"/>
        <w:gridCol w:w="1842"/>
      </w:tblGrid>
      <w:tr w:rsidR="00225680" w:rsidRPr="00225680" w14:paraId="4AD4B9E4" w14:textId="77777777" w:rsidTr="00225680">
        <w:trPr>
          <w:tblHeader/>
        </w:trPr>
        <w:tc>
          <w:tcPr>
            <w:tcW w:w="1696" w:type="dxa"/>
            <w:shd w:val="clear" w:color="auto" w:fill="E8E8E8"/>
            <w:vAlign w:val="center"/>
          </w:tcPr>
          <w:p w14:paraId="348B6FD1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Veiklos kriterijus</w:t>
            </w:r>
          </w:p>
        </w:tc>
        <w:tc>
          <w:tcPr>
            <w:tcW w:w="1560" w:type="dxa"/>
            <w:shd w:val="clear" w:color="auto" w:fill="E8E8E8"/>
            <w:vAlign w:val="center"/>
          </w:tcPr>
          <w:p w14:paraId="644D8069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Reikalavimas</w:t>
            </w:r>
          </w:p>
        </w:tc>
        <w:tc>
          <w:tcPr>
            <w:tcW w:w="4252" w:type="dxa"/>
            <w:shd w:val="clear" w:color="auto" w:fill="E8E8E8"/>
            <w:vAlign w:val="center"/>
          </w:tcPr>
          <w:p w14:paraId="0C443409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Rodiklis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2F8CE25C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Siūlomų prekių techniniai parametrai</w:t>
            </w:r>
          </w:p>
        </w:tc>
      </w:tr>
      <w:tr w:rsidR="00225680" w:rsidRPr="00225680" w14:paraId="4E89FB5D" w14:textId="77777777" w:rsidTr="00C7435A">
        <w:tc>
          <w:tcPr>
            <w:tcW w:w="1696" w:type="dxa"/>
            <w:vMerge w:val="restart"/>
            <w:vAlign w:val="center"/>
          </w:tcPr>
          <w:p w14:paraId="5DEC2AD4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Reikalavimai šviestuvų judesio jutikliams</w:t>
            </w:r>
          </w:p>
        </w:tc>
        <w:tc>
          <w:tcPr>
            <w:tcW w:w="1560" w:type="dxa"/>
            <w:vAlign w:val="center"/>
          </w:tcPr>
          <w:p w14:paraId="48340066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Bendrieji reikalavimai</w:t>
            </w:r>
          </w:p>
        </w:tc>
        <w:tc>
          <w:tcPr>
            <w:tcW w:w="4252" w:type="dxa"/>
            <w:vAlign w:val="center"/>
          </w:tcPr>
          <w:p w14:paraId="0E002CCA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jutiklis montuojamas į šviestuvus siekiant valdyti apšvietimo intensyvumą, priklausomai nuo aplinkoje esančio judėjimo.</w:t>
            </w:r>
          </w:p>
          <w:p w14:paraId="37C2EBCB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Šviestuvo judesio jutiklis turi būti montuojamas į šviestuvo apačioje esančią 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jungtį. Judesio jutiklis gali būti montuojamas iki 12 m. aukščio. </w:t>
            </w:r>
          </w:p>
        </w:tc>
        <w:tc>
          <w:tcPr>
            <w:tcW w:w="1842" w:type="dxa"/>
            <w:vAlign w:val="center"/>
          </w:tcPr>
          <w:p w14:paraId="4BDC9D3E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69892CD6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5D42DE92" w14:textId="77777777" w:rsidTr="00C7435A">
        <w:tc>
          <w:tcPr>
            <w:tcW w:w="1696" w:type="dxa"/>
            <w:vMerge/>
            <w:vAlign w:val="center"/>
          </w:tcPr>
          <w:p w14:paraId="1E7CEEA9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39DC94F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jungties tipas</w:t>
            </w:r>
          </w:p>
        </w:tc>
        <w:tc>
          <w:tcPr>
            <w:tcW w:w="4252" w:type="dxa"/>
            <w:vAlign w:val="center"/>
          </w:tcPr>
          <w:p w14:paraId="5E4CDF0A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Judesio jutikliai jungiami prie šviestuvų naudojant 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book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18 tipo jungtį.</w:t>
            </w:r>
          </w:p>
        </w:tc>
        <w:tc>
          <w:tcPr>
            <w:tcW w:w="1842" w:type="dxa"/>
            <w:vAlign w:val="center"/>
          </w:tcPr>
          <w:p w14:paraId="46156BC2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ED3C53F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3E982348" w14:textId="77777777" w:rsidTr="00C7435A">
        <w:tc>
          <w:tcPr>
            <w:tcW w:w="1696" w:type="dxa"/>
            <w:vMerge/>
          </w:tcPr>
          <w:p w14:paraId="69617B53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5BC51BC2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maitinimas</w:t>
            </w:r>
          </w:p>
        </w:tc>
        <w:tc>
          <w:tcPr>
            <w:tcW w:w="4252" w:type="dxa"/>
            <w:vAlign w:val="center"/>
          </w:tcPr>
          <w:p w14:paraId="33C6BDF0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jutikliai turi būti maitinami naudojant DALI D4i standarto šviestuvo maitinimo šaltinį (+-24V)</w:t>
            </w:r>
          </w:p>
        </w:tc>
        <w:tc>
          <w:tcPr>
            <w:tcW w:w="1842" w:type="dxa"/>
            <w:vAlign w:val="center"/>
          </w:tcPr>
          <w:p w14:paraId="6A717F92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1F37E6A6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71F42811" w14:textId="77777777" w:rsidTr="00C7435A">
        <w:tc>
          <w:tcPr>
            <w:tcW w:w="1696" w:type="dxa"/>
            <w:vMerge/>
          </w:tcPr>
          <w:p w14:paraId="6D8E44BD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05F000B9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Atsparumas aplinkos poveikiui</w:t>
            </w:r>
          </w:p>
        </w:tc>
        <w:tc>
          <w:tcPr>
            <w:tcW w:w="4252" w:type="dxa"/>
            <w:vAlign w:val="center"/>
          </w:tcPr>
          <w:p w14:paraId="635868A3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Ne mažiau IP66.</w:t>
            </w:r>
          </w:p>
        </w:tc>
        <w:tc>
          <w:tcPr>
            <w:tcW w:w="1842" w:type="dxa"/>
            <w:vAlign w:val="center"/>
          </w:tcPr>
          <w:p w14:paraId="51B30E3B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D35BF2E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2F8B7831" w14:textId="77777777" w:rsidTr="00C7435A">
        <w:tc>
          <w:tcPr>
            <w:tcW w:w="1696" w:type="dxa"/>
            <w:vMerge/>
          </w:tcPr>
          <w:p w14:paraId="3EB204A5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4E68FA25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Konstrukcinės atsparumo smūginėms apkrovoms klasė</w:t>
            </w:r>
          </w:p>
        </w:tc>
        <w:tc>
          <w:tcPr>
            <w:tcW w:w="4252" w:type="dxa"/>
            <w:vAlign w:val="center"/>
          </w:tcPr>
          <w:p w14:paraId="2C512CDE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Ne mažiau IK07.</w:t>
            </w:r>
          </w:p>
        </w:tc>
        <w:tc>
          <w:tcPr>
            <w:tcW w:w="1842" w:type="dxa"/>
            <w:vAlign w:val="center"/>
          </w:tcPr>
          <w:p w14:paraId="413308CE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DE59D9A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4CDC03D2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234AFB84" w14:textId="77777777" w:rsidTr="00C7435A">
        <w:tc>
          <w:tcPr>
            <w:tcW w:w="1696" w:type="dxa"/>
            <w:vMerge/>
          </w:tcPr>
          <w:p w14:paraId="148EAEAB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40CF98C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Darbo temperatūrų reikalavimas</w:t>
            </w:r>
          </w:p>
        </w:tc>
        <w:tc>
          <w:tcPr>
            <w:tcW w:w="4252" w:type="dxa"/>
            <w:vAlign w:val="center"/>
          </w:tcPr>
          <w:p w14:paraId="772609F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Atitinkantis klimatines sąlygas, bet ne mažesnis nei temperatūrų diapazonas: - 40+ 65 </w:t>
            </w:r>
            <w:proofErr w:type="spellStart"/>
            <w:r w:rsidRPr="00225680">
              <w:rPr>
                <w:rFonts w:ascii="Times New Roman" w:hAnsi="Times New Roman"/>
                <w:kern w:val="2"/>
                <w:sz w:val="20"/>
                <w:szCs w:val="20"/>
                <w:vertAlign w:val="superscript"/>
                <w:lang w:val="lt-LT"/>
                <w14:ligatures w14:val="standardContextual"/>
              </w:rPr>
              <w:t>o</w:t>
            </w:r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C</w:t>
            </w:r>
            <w:proofErr w:type="spellEnd"/>
            <w:r w:rsidRPr="00225680"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</w:t>
            </w:r>
          </w:p>
        </w:tc>
        <w:tc>
          <w:tcPr>
            <w:tcW w:w="1842" w:type="dxa"/>
            <w:vAlign w:val="center"/>
          </w:tcPr>
          <w:p w14:paraId="095A82D0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0590CBF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29BB0FA7" w14:textId="77777777" w:rsidTr="00C7435A">
        <w:tc>
          <w:tcPr>
            <w:tcW w:w="1696" w:type="dxa"/>
            <w:vMerge/>
          </w:tcPr>
          <w:p w14:paraId="0E9FC1C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21DAE749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Energijos sąnaudos</w:t>
            </w:r>
          </w:p>
        </w:tc>
        <w:tc>
          <w:tcPr>
            <w:tcW w:w="4252" w:type="dxa"/>
          </w:tcPr>
          <w:p w14:paraId="65E7A120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vidutinės energijos sąnaudos turi būti ne didesnės negu 6-8mA, paleidimo metu 25mA.</w:t>
            </w:r>
          </w:p>
        </w:tc>
        <w:tc>
          <w:tcPr>
            <w:tcW w:w="1842" w:type="dxa"/>
          </w:tcPr>
          <w:p w14:paraId="021D3F04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7072FA1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50B51683" w14:textId="77777777" w:rsidTr="00C7435A">
        <w:tc>
          <w:tcPr>
            <w:tcW w:w="1696" w:type="dxa"/>
            <w:vMerge/>
          </w:tcPr>
          <w:p w14:paraId="0854542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62E52BD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funkcionalumai</w:t>
            </w:r>
          </w:p>
        </w:tc>
        <w:tc>
          <w:tcPr>
            <w:tcW w:w="4252" w:type="dxa"/>
          </w:tcPr>
          <w:p w14:paraId="5A28D0F5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aptikimo zona turi būti ne mažiau nei 30m x 6m (kai jutiklis yra 5m aukštyje).</w:t>
            </w:r>
          </w:p>
        </w:tc>
        <w:tc>
          <w:tcPr>
            <w:tcW w:w="1842" w:type="dxa"/>
          </w:tcPr>
          <w:p w14:paraId="6AE53EF6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77AD5C26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1939C9E8" w14:textId="77777777" w:rsidTr="00C7435A">
        <w:tc>
          <w:tcPr>
            <w:tcW w:w="1696" w:type="dxa"/>
            <w:vMerge/>
          </w:tcPr>
          <w:p w14:paraId="4E2D9168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Merge/>
            <w:vAlign w:val="center"/>
          </w:tcPr>
          <w:p w14:paraId="45301940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2" w:type="dxa"/>
          </w:tcPr>
          <w:p w14:paraId="61457740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jutikliai turi aptikti bent pėsčiuosius, bėgikus ir dviratininkus.</w:t>
            </w:r>
          </w:p>
        </w:tc>
        <w:tc>
          <w:tcPr>
            <w:tcW w:w="1842" w:type="dxa"/>
          </w:tcPr>
          <w:p w14:paraId="40FCCBA2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3D1CE995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1A34999D" w14:textId="77777777" w:rsidTr="00C7435A">
        <w:tc>
          <w:tcPr>
            <w:tcW w:w="1696" w:type="dxa"/>
            <w:vMerge/>
          </w:tcPr>
          <w:p w14:paraId="5903756A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Merge/>
            <w:vAlign w:val="center"/>
          </w:tcPr>
          <w:p w14:paraId="74BC3CD2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2" w:type="dxa"/>
          </w:tcPr>
          <w:p w14:paraId="747631E8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Jutikliai turi būti valdomi D4i ryšio protokolu.</w:t>
            </w:r>
          </w:p>
        </w:tc>
        <w:tc>
          <w:tcPr>
            <w:tcW w:w="1842" w:type="dxa"/>
          </w:tcPr>
          <w:p w14:paraId="75658797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30FA4DD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47522360" w14:textId="77777777" w:rsidTr="00C7435A">
        <w:tc>
          <w:tcPr>
            <w:tcW w:w="1696" w:type="dxa"/>
            <w:vMerge/>
          </w:tcPr>
          <w:p w14:paraId="6EF5E204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Merge/>
            <w:vAlign w:val="center"/>
          </w:tcPr>
          <w:p w14:paraId="69ECA651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2" w:type="dxa"/>
          </w:tcPr>
          <w:p w14:paraId="36B55CCD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Judesio jutiklis turi turėti šviestuvų atspindžių filtravimą. </w:t>
            </w:r>
          </w:p>
        </w:tc>
        <w:tc>
          <w:tcPr>
            <w:tcW w:w="1842" w:type="dxa"/>
          </w:tcPr>
          <w:p w14:paraId="66B5E31C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6AD6A3AD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3D15A254" w14:textId="77777777" w:rsidTr="00C7435A">
        <w:tc>
          <w:tcPr>
            <w:tcW w:w="1696" w:type="dxa"/>
            <w:vMerge/>
          </w:tcPr>
          <w:p w14:paraId="3523F9B6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Merge/>
            <w:vAlign w:val="center"/>
          </w:tcPr>
          <w:p w14:paraId="402F7ACE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4252" w:type="dxa"/>
          </w:tcPr>
          <w:p w14:paraId="788719CF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Turi būti galimybė prieš judesio jutiklių instaliavimą atlikti šiuos jutiklių parametrų nustatymus:</w:t>
            </w:r>
          </w:p>
          <w:p w14:paraId="71F60665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- Judesio jutiklio įsijungimo / išsijungimo vertės priklausomai nuo aplinkoje esančios apšvietos vertinant „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lux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“ matavimo vienetais;</w:t>
            </w:r>
          </w:p>
          <w:p w14:paraId="066035A0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- </w:t>
            </w:r>
            <w:r w:rsidRPr="00225680">
              <w:rPr>
                <w:rFonts w:ascii="Times New Roman" w:eastAsia="Aptos" w:hAnsi="Times New Roman"/>
                <w:kern w:val="2"/>
                <w:sz w:val="24"/>
                <w:szCs w:val="24"/>
                <w:lang w:val="lt-LT"/>
                <w14:ligatures w14:val="standardContextual"/>
              </w:rPr>
              <w:t xml:space="preserve"> </w:t>
            </w: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Apšvietimo intensyvumo lygį (proc.), taikomą esant užfiksuotam judėjimui ir jam nesant;</w:t>
            </w:r>
          </w:p>
          <w:p w14:paraId="33F5E204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- </w:t>
            </w:r>
            <w:r w:rsidRPr="00225680">
              <w:rPr>
                <w:rFonts w:ascii="Times New Roman" w:eastAsia="Aptos" w:hAnsi="Times New Roman"/>
                <w:kern w:val="2"/>
                <w:sz w:val="24"/>
                <w:szCs w:val="24"/>
                <w:lang w:val="lt-LT"/>
                <w14:ligatures w14:val="standardContextual"/>
              </w:rPr>
              <w:t xml:space="preserve"> </w:t>
            </w: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Laiko parametrą (minutėmis), apibrėžiantį pilno apšvietimo intensyvumo palaikymo trukmę po judesio užfiksavimo.</w:t>
            </w:r>
          </w:p>
        </w:tc>
        <w:tc>
          <w:tcPr>
            <w:tcW w:w="1842" w:type="dxa"/>
          </w:tcPr>
          <w:p w14:paraId="7AEC7157" w14:textId="77777777" w:rsidR="00225680" w:rsidRPr="00225680" w:rsidRDefault="00225680" w:rsidP="00225680">
            <w:pPr>
              <w:tabs>
                <w:tab w:val="center" w:pos="813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5BC51828" w14:textId="77777777" w:rsidR="00225680" w:rsidRPr="00225680" w:rsidRDefault="00225680" w:rsidP="00225680">
            <w:pPr>
              <w:tabs>
                <w:tab w:val="center" w:pos="813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33C929F" w14:textId="77777777" w:rsidR="00225680" w:rsidRPr="00225680" w:rsidRDefault="00225680" w:rsidP="00225680">
            <w:pPr>
              <w:tabs>
                <w:tab w:val="center" w:pos="813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35D19A4E" w14:textId="77777777" w:rsidR="00225680" w:rsidRPr="00225680" w:rsidRDefault="00225680" w:rsidP="00225680">
            <w:pPr>
              <w:tabs>
                <w:tab w:val="center" w:pos="813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  <w:p w14:paraId="4519732F" w14:textId="77777777" w:rsidR="00225680" w:rsidRPr="00225680" w:rsidRDefault="00225680" w:rsidP="00225680">
            <w:pPr>
              <w:tabs>
                <w:tab w:val="center" w:pos="813"/>
              </w:tabs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ab/>
              <w:t>................................</w:t>
            </w:r>
          </w:p>
          <w:p w14:paraId="7C64AB89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  <w:tr w:rsidR="00225680" w:rsidRPr="00225680" w14:paraId="258237BC" w14:textId="77777777" w:rsidTr="00C7435A">
        <w:tc>
          <w:tcPr>
            <w:tcW w:w="1696" w:type="dxa"/>
            <w:vMerge/>
          </w:tcPr>
          <w:p w14:paraId="0201383A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</w:p>
        </w:tc>
        <w:tc>
          <w:tcPr>
            <w:tcW w:w="1560" w:type="dxa"/>
            <w:vAlign w:val="center"/>
          </w:tcPr>
          <w:p w14:paraId="03D6B608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Judesio jutiklių standartai</w:t>
            </w:r>
          </w:p>
        </w:tc>
        <w:tc>
          <w:tcPr>
            <w:tcW w:w="4252" w:type="dxa"/>
          </w:tcPr>
          <w:p w14:paraId="5F1203C9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Judesio jutikliai turi atitikti šiuos standartus: </w:t>
            </w:r>
          </w:p>
          <w:p w14:paraId="51280D4D" w14:textId="77777777" w:rsidR="00225680" w:rsidRPr="00225680" w:rsidRDefault="00225680" w:rsidP="00225680">
            <w:pPr>
              <w:spacing w:after="0" w:line="240" w:lineRule="auto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CE, IEC61347-1, IEC61347-2-11, IEC62386 dalys 303,101,103, 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Zhaga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proofErr w:type="spellStart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book</w:t>
            </w:r>
            <w:proofErr w:type="spellEnd"/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 xml:space="preserve"> 18 leidimai 1,2,3.</w:t>
            </w:r>
          </w:p>
        </w:tc>
        <w:tc>
          <w:tcPr>
            <w:tcW w:w="1842" w:type="dxa"/>
          </w:tcPr>
          <w:p w14:paraId="089324FC" w14:textId="77777777" w:rsidR="00225680" w:rsidRPr="00225680" w:rsidRDefault="00225680" w:rsidP="00225680">
            <w:pPr>
              <w:spacing w:after="0" w:line="240" w:lineRule="auto"/>
              <w:jc w:val="center"/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................................</w:t>
            </w:r>
          </w:p>
          <w:p w14:paraId="567D71C3" w14:textId="1C9B4A37" w:rsidR="00225680" w:rsidRPr="00DB529A" w:rsidRDefault="00225680" w:rsidP="00DB529A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val="lt-LT"/>
                <w14:ligatures w14:val="standardContextual"/>
              </w:rPr>
            </w:pPr>
            <w:r w:rsidRPr="00225680">
              <w:rPr>
                <w:rFonts w:ascii="Times New Roman" w:eastAsia="Aptos" w:hAnsi="Times New Roman"/>
                <w:kern w:val="2"/>
                <w:sz w:val="20"/>
                <w:szCs w:val="20"/>
                <w:lang w:val="lt-LT"/>
                <w14:ligatures w14:val="standardContextual"/>
              </w:rPr>
              <w:t>(atitinka/neatitinka)</w:t>
            </w:r>
          </w:p>
        </w:tc>
      </w:tr>
    </w:tbl>
    <w:p w14:paraId="2FB5A0AE" w14:textId="77777777" w:rsidR="00B97490" w:rsidRPr="00D02C55" w:rsidRDefault="00B97490" w:rsidP="003A0A38">
      <w:pPr>
        <w:spacing w:line="240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32FEBBEF" w14:textId="387A3ECC" w:rsidR="003A0A38" w:rsidRPr="00D02C55" w:rsidRDefault="006E0E4A" w:rsidP="002A60BB">
      <w:pPr>
        <w:pStyle w:val="Sraopastraipa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D02C55">
        <w:rPr>
          <w:rFonts w:ascii="Times New Roman" w:hAnsi="Times New Roman"/>
          <w:sz w:val="24"/>
          <w:szCs w:val="24"/>
        </w:rPr>
        <w:t>5</w:t>
      </w:r>
      <w:r w:rsidR="002A60BB" w:rsidRPr="00D02C55">
        <w:rPr>
          <w:rFonts w:ascii="Times New Roman" w:hAnsi="Times New Roman"/>
          <w:sz w:val="24"/>
          <w:szCs w:val="24"/>
        </w:rPr>
        <w:t xml:space="preserve">. </w:t>
      </w:r>
      <w:r w:rsidR="003A0A38" w:rsidRPr="00D02C55">
        <w:rPr>
          <w:rFonts w:ascii="Times New Roman" w:hAnsi="Times New Roman"/>
          <w:sz w:val="24"/>
          <w:szCs w:val="24"/>
        </w:rPr>
        <w:t>lentelė. Reikalavimai apšvietimo valdymo sistemai</w:t>
      </w:r>
    </w:p>
    <w:tbl>
      <w:tblPr>
        <w:tblpPr w:leftFromText="180" w:rightFromText="180" w:vertAnchor="text" w:tblpX="5" w:tblpY="1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560"/>
        <w:gridCol w:w="4252"/>
        <w:gridCol w:w="1985"/>
      </w:tblGrid>
      <w:tr w:rsidR="00984269" w:rsidRPr="00984269" w14:paraId="25CF33C9" w14:textId="77777777" w:rsidTr="000042C0">
        <w:trPr>
          <w:tblHeader/>
        </w:trPr>
        <w:tc>
          <w:tcPr>
            <w:tcW w:w="1696" w:type="dxa"/>
            <w:shd w:val="clear" w:color="auto" w:fill="E8E8E8"/>
            <w:vAlign w:val="center"/>
          </w:tcPr>
          <w:p w14:paraId="55196782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Veiklos kriterijus</w:t>
            </w:r>
          </w:p>
        </w:tc>
        <w:tc>
          <w:tcPr>
            <w:tcW w:w="1560" w:type="dxa"/>
            <w:shd w:val="clear" w:color="auto" w:fill="E8E8E8"/>
            <w:vAlign w:val="center"/>
          </w:tcPr>
          <w:p w14:paraId="4AA4D1C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4252" w:type="dxa"/>
            <w:shd w:val="clear" w:color="auto" w:fill="E8E8E8"/>
            <w:vAlign w:val="center"/>
          </w:tcPr>
          <w:p w14:paraId="300F7F54" w14:textId="77777777" w:rsidR="00984269" w:rsidRPr="00984269" w:rsidRDefault="00984269" w:rsidP="00984269">
            <w:pPr>
              <w:tabs>
                <w:tab w:val="left" w:pos="792"/>
                <w:tab w:val="left" w:pos="134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Rodiklis</w:t>
            </w:r>
          </w:p>
        </w:tc>
        <w:tc>
          <w:tcPr>
            <w:tcW w:w="1985" w:type="dxa"/>
            <w:shd w:val="clear" w:color="auto" w:fill="E8E8E8"/>
            <w:vAlign w:val="center"/>
          </w:tcPr>
          <w:p w14:paraId="5D94856B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Siūlomų prekių techniniai parametrai</w:t>
            </w:r>
          </w:p>
        </w:tc>
      </w:tr>
      <w:tr w:rsidR="00984269" w:rsidRPr="00984269" w14:paraId="46F836ED" w14:textId="77777777" w:rsidTr="000042C0">
        <w:trPr>
          <w:trHeight w:val="58"/>
        </w:trPr>
        <w:tc>
          <w:tcPr>
            <w:tcW w:w="1696" w:type="dxa"/>
            <w:vMerge w:val="restart"/>
            <w:vAlign w:val="center"/>
          </w:tcPr>
          <w:p w14:paraId="19027EA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C1EEA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EDBE5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4AC97A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C42BF6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7B5B52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0F4424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59EBFA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2C710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1F89B7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971FFF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575CD1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4925A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37142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0DA9F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Apšvietimo valdymo sistemos reikalavimai</w:t>
            </w:r>
          </w:p>
          <w:p w14:paraId="2B3F05C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BCCBBD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84E20A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848B8A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E0F22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B5A17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FF7AD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619521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46E319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71386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C8DE3B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A65E01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152888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4C896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13FC62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A2880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4A8DE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B31AFE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360F7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0FC9E0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646484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50BE2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19C255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50D9B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BCFEE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8C7B7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69C5C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7D4F73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sistemos reikalavimai</w:t>
            </w:r>
          </w:p>
          <w:p w14:paraId="101D2BB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A21BA9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FFB01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12FA3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14ADC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95B507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F2A75F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FB658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972069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73AA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71C28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D40B33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28670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706334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3EA885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77DE93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69D5B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39111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7528FD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565840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86AE3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D79F7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0CBC4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DA067F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DC0EC4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D347A1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3D981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300268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7D3257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5236C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F0D433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D79E3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CDDA80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E830A4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2F00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A43F6A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C59CA4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B27B7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380E8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69219C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DF48F4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28C33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8D733D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2ED4EF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4FA737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72C054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D444D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62059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B7C18C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CFCF0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94733D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B9D6EC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B01C7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41D0D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F56B0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917918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sistemos reikalavimai</w:t>
            </w:r>
          </w:p>
          <w:p w14:paraId="4836EBC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FFA47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355DA3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FA0B65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80CD7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5783E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B6D2DB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804AD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C3966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6EFDF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112887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F0AD20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D27BC8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78F94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40048B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F2CDE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D2EC7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0C581B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0F35E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94D87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741CB8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2A337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80631C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0AF8FC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2CB1B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FABB30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90091E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5EAFE4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329A0B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F076BC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ABF000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C709F4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79B2A0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A73F9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93EFB1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33718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0972FA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30C94F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BC2B9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1E1017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031D1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28088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8129A9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CC12AD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9950C0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5FAB8D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90E8B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83C969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768E34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sistemos reikalavimai</w:t>
            </w:r>
          </w:p>
          <w:p w14:paraId="3DE5351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32F36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6B0586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3D85F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14A622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A435D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FB1E0A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60544D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32D8BB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55504F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9ACD87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984269" w:rsidRPr="00984269" w14:paraId="4376CA0B" w14:textId="77777777" w:rsidTr="000042C0">
        <w:tc>
          <w:tcPr>
            <w:tcW w:w="1696" w:type="dxa"/>
            <w:vMerge/>
            <w:vAlign w:val="center"/>
          </w:tcPr>
          <w:p w14:paraId="3B5FEDB3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2ED06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Sistemos vartotojų prieiga</w:t>
            </w:r>
          </w:p>
        </w:tc>
        <w:tc>
          <w:tcPr>
            <w:tcW w:w="4252" w:type="dxa"/>
            <w:vAlign w:val="center"/>
          </w:tcPr>
          <w:p w14:paraId="20FEF51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Vartotojų prisijungimu prie sistemos elektroniniu paštu. </w:t>
            </w:r>
          </w:p>
        </w:tc>
        <w:tc>
          <w:tcPr>
            <w:tcW w:w="1985" w:type="dxa"/>
            <w:vAlign w:val="center"/>
          </w:tcPr>
          <w:p w14:paraId="700D20C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..........................................</w:t>
            </w:r>
          </w:p>
          <w:p w14:paraId="42AEB58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(įrašyti: atitinka/neatitinka)</w:t>
            </w:r>
          </w:p>
        </w:tc>
      </w:tr>
      <w:tr w:rsidR="00984269" w:rsidRPr="00984269" w14:paraId="5DBBD23D" w14:textId="77777777" w:rsidTr="000042C0">
        <w:tc>
          <w:tcPr>
            <w:tcW w:w="1696" w:type="dxa"/>
            <w:vMerge/>
            <w:vAlign w:val="center"/>
          </w:tcPr>
          <w:p w14:paraId="3F31E535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832FA9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Vartotojo sąsaja turi atitikti šias naršykles (įskaitant, bet neapsiribojant)</w:t>
            </w:r>
          </w:p>
        </w:tc>
        <w:tc>
          <w:tcPr>
            <w:tcW w:w="4252" w:type="dxa"/>
            <w:vAlign w:val="center"/>
          </w:tcPr>
          <w:p w14:paraId="56C478FA" w14:textId="77777777" w:rsidR="00984269" w:rsidRPr="00984269" w:rsidRDefault="00984269" w:rsidP="00984269">
            <w:pPr>
              <w:spacing w:before="6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Chrome;</w:t>
            </w:r>
          </w:p>
          <w:p w14:paraId="4A61EE0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Firefox;</w:t>
            </w:r>
          </w:p>
          <w:p w14:paraId="29F663C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Safari.</w:t>
            </w:r>
          </w:p>
        </w:tc>
        <w:tc>
          <w:tcPr>
            <w:tcW w:w="1985" w:type="dxa"/>
            <w:vAlign w:val="center"/>
          </w:tcPr>
          <w:p w14:paraId="6C5DC6B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..........................................</w:t>
            </w:r>
          </w:p>
          <w:p w14:paraId="649C5D8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(įrašyti: atitinka/neatitinka)</w:t>
            </w:r>
          </w:p>
        </w:tc>
      </w:tr>
      <w:tr w:rsidR="00984269" w:rsidRPr="00984269" w14:paraId="4E6499B6" w14:textId="77777777" w:rsidTr="000042C0">
        <w:trPr>
          <w:trHeight w:val="200"/>
        </w:trPr>
        <w:tc>
          <w:tcPr>
            <w:tcW w:w="1696" w:type="dxa"/>
            <w:vMerge/>
            <w:vAlign w:val="center"/>
          </w:tcPr>
          <w:p w14:paraId="097D46BB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60F1BD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Bendrieji reikalavimai</w:t>
            </w:r>
          </w:p>
          <w:p w14:paraId="2CAD0CB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Apšvietimo valdymo </w:t>
            </w: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programinei įrangai</w:t>
            </w:r>
          </w:p>
        </w:tc>
        <w:tc>
          <w:tcPr>
            <w:tcW w:w="4252" w:type="dxa"/>
            <w:vAlign w:val="center"/>
          </w:tcPr>
          <w:p w14:paraId="05CE502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Komunikacija apšvietimo valdymo sistemoje turi būti šifruota ir veikti https protokolu. Turi būti užtikrintas galiojantis apšvietimo valdymo programinės įrangos SSL sertifikatas.</w:t>
            </w:r>
          </w:p>
        </w:tc>
        <w:tc>
          <w:tcPr>
            <w:tcW w:w="1985" w:type="dxa"/>
            <w:vAlign w:val="center"/>
          </w:tcPr>
          <w:p w14:paraId="56E5C96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486D2B9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1F2E4D9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60132F43" w14:textId="77777777" w:rsidTr="000042C0">
        <w:trPr>
          <w:trHeight w:val="200"/>
        </w:trPr>
        <w:tc>
          <w:tcPr>
            <w:tcW w:w="1696" w:type="dxa"/>
            <w:vMerge/>
            <w:vAlign w:val="center"/>
          </w:tcPr>
          <w:p w14:paraId="0469C9DD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971E897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1F4E9B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sistema turi būti veikianti  bent lietuvių ir anglų kalbomis.</w:t>
            </w:r>
          </w:p>
        </w:tc>
        <w:tc>
          <w:tcPr>
            <w:tcW w:w="1985" w:type="dxa"/>
            <w:vAlign w:val="center"/>
          </w:tcPr>
          <w:p w14:paraId="3BB794F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0CDA55A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2F1552B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00D3CB61" w14:textId="77777777" w:rsidTr="000042C0">
        <w:trPr>
          <w:trHeight w:val="200"/>
        </w:trPr>
        <w:tc>
          <w:tcPr>
            <w:tcW w:w="1696" w:type="dxa"/>
            <w:vMerge/>
            <w:vAlign w:val="center"/>
          </w:tcPr>
          <w:p w14:paraId="5B09160C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69FBC1B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90000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sistema turi turėti įprastą ir tamsų veikimo režimą.</w:t>
            </w:r>
          </w:p>
        </w:tc>
        <w:tc>
          <w:tcPr>
            <w:tcW w:w="1985" w:type="dxa"/>
            <w:vAlign w:val="center"/>
          </w:tcPr>
          <w:p w14:paraId="5031130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05B4394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6E06400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36047B01" w14:textId="77777777" w:rsidTr="000042C0">
        <w:trPr>
          <w:trHeight w:val="200"/>
        </w:trPr>
        <w:tc>
          <w:tcPr>
            <w:tcW w:w="1696" w:type="dxa"/>
            <w:vMerge/>
            <w:vAlign w:val="center"/>
          </w:tcPr>
          <w:p w14:paraId="582DF292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5BFBCEE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7BFDF5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Pasiūlyme turi būti įskaičiuotos visos apšvietimo valdymo sistemos veikimui būtinos išlaidos 3 (trejų) metų laikotarpiui, įskaitant:</w:t>
            </w:r>
          </w:p>
          <w:p w14:paraId="76E8B1A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-apšvietimo valdymo programinės įrangos licencijas,</w:t>
            </w:r>
          </w:p>
          <w:p w14:paraId="57F4165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serverių ir duomenų saugyklų priežiūrą bei palaikymą,</w:t>
            </w:r>
          </w:p>
          <w:p w14:paraId="4A0A6E0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ryšio operatoriaus paslaugų kaštus (SIM kortelės, duomenų perdavimas ar kiti komunikacijos kanalai).</w:t>
            </w:r>
          </w:p>
        </w:tc>
        <w:tc>
          <w:tcPr>
            <w:tcW w:w="1985" w:type="dxa"/>
            <w:vAlign w:val="center"/>
          </w:tcPr>
          <w:p w14:paraId="0D2B3179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4D15B44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54B16F37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39A84F1C" w14:textId="77777777" w:rsidTr="000042C0">
        <w:trPr>
          <w:trHeight w:val="200"/>
        </w:trPr>
        <w:tc>
          <w:tcPr>
            <w:tcW w:w="1696" w:type="dxa"/>
            <w:vMerge/>
            <w:vAlign w:val="center"/>
          </w:tcPr>
          <w:p w14:paraId="64EFB006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A40CE23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3310D8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6D9EEB"/>
                <w:sz w:val="20"/>
                <w:szCs w:val="20"/>
                <w:highlight w:val="white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white"/>
              </w:rPr>
              <w:t>Sistema turi suteikti galimybę naudotojams registruoti užklausas (</w:t>
            </w:r>
            <w:proofErr w:type="spellStart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white"/>
              </w:rPr>
              <w:t>support</w:t>
            </w:r>
            <w:proofErr w:type="spellEnd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white"/>
              </w:rPr>
              <w:t>ticketus</w:t>
            </w:r>
            <w:proofErr w:type="spellEnd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white"/>
              </w:rPr>
              <w:t>) tiesiogiai per valdymo platformą.</w:t>
            </w:r>
          </w:p>
        </w:tc>
        <w:tc>
          <w:tcPr>
            <w:tcW w:w="1985" w:type="dxa"/>
            <w:vAlign w:val="center"/>
          </w:tcPr>
          <w:p w14:paraId="0BDFB9D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20E98537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3B3874FA" w14:textId="77777777" w:rsidTr="000042C0">
        <w:tc>
          <w:tcPr>
            <w:tcW w:w="1696" w:type="dxa"/>
            <w:vMerge/>
            <w:vAlign w:val="center"/>
          </w:tcPr>
          <w:p w14:paraId="08EFC259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0FF91F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Naujų prietaisų instaliavimas ir registravimas į apšvietimo valdymo sistemą</w:t>
            </w:r>
          </w:p>
        </w:tc>
        <w:tc>
          <w:tcPr>
            <w:tcW w:w="4252" w:type="dxa"/>
            <w:vAlign w:val="center"/>
          </w:tcPr>
          <w:p w14:paraId="178FB56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Turi būti užtikrinama galimybė naujus prietaisus į apšvietimo valdymo sistemą užregistruoti per aplikaciją, kuri veikia mobiliuose įrenginiuose.</w:t>
            </w:r>
          </w:p>
        </w:tc>
        <w:tc>
          <w:tcPr>
            <w:tcW w:w="1985" w:type="dxa"/>
            <w:vAlign w:val="center"/>
          </w:tcPr>
          <w:p w14:paraId="7F300ACF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11B9CD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4B5C9E7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48E50017" w14:textId="77777777" w:rsidTr="000042C0">
        <w:tc>
          <w:tcPr>
            <w:tcW w:w="1696" w:type="dxa"/>
            <w:vMerge/>
            <w:vAlign w:val="center"/>
          </w:tcPr>
          <w:p w14:paraId="7FEC7FAC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EEAD60F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222B89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Aplikacijoje, kuri skirta naujiems prietaisams užregistruoti į apšvietimo valdymo sistemą, turi būti QR kodo skenavimas prietaiso ID kodui ir galimybė ID įvesti rankiniu būdu.</w:t>
            </w:r>
          </w:p>
          <w:p w14:paraId="090F789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91A0CF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3AD2E3E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477E072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74EB5FDD" w14:textId="77777777" w:rsidTr="000042C0">
        <w:trPr>
          <w:trHeight w:val="525"/>
        </w:trPr>
        <w:tc>
          <w:tcPr>
            <w:tcW w:w="1696" w:type="dxa"/>
            <w:vMerge/>
            <w:vAlign w:val="center"/>
          </w:tcPr>
          <w:p w14:paraId="1441508B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8BBA456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19C47C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Aplikacijoje turi būti automatinė prietaiso lokacijos nustatymo funkcija.</w:t>
            </w:r>
          </w:p>
        </w:tc>
        <w:tc>
          <w:tcPr>
            <w:tcW w:w="1985" w:type="dxa"/>
            <w:vAlign w:val="center"/>
          </w:tcPr>
          <w:p w14:paraId="237AF457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3EFC6CE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19B6A199" w14:textId="77777777" w:rsidTr="000042C0">
        <w:tc>
          <w:tcPr>
            <w:tcW w:w="1696" w:type="dxa"/>
            <w:vMerge/>
            <w:vAlign w:val="center"/>
          </w:tcPr>
          <w:p w14:paraId="04C9A217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65C091F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3D6D00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Aplikacijoje turi būti galimybė įvesti gatvės pavadinimą, prietaiso pavadinimą ir stulpo numerį (šviestuvų valdikliams).</w:t>
            </w:r>
          </w:p>
        </w:tc>
        <w:tc>
          <w:tcPr>
            <w:tcW w:w="1985" w:type="dxa"/>
            <w:vAlign w:val="center"/>
          </w:tcPr>
          <w:p w14:paraId="72F6F68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075D7BE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2867305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0582BA8F" w14:textId="77777777" w:rsidTr="000042C0">
        <w:tc>
          <w:tcPr>
            <w:tcW w:w="1696" w:type="dxa"/>
            <w:vMerge/>
            <w:vAlign w:val="center"/>
          </w:tcPr>
          <w:p w14:paraId="0E62273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686A757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6CEB05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Aplikacijoje, kuri skirta prietaisams užregistruoti į sistemą, turi būti automatinis prietaiso tipo atpažinimas.</w:t>
            </w:r>
          </w:p>
        </w:tc>
        <w:tc>
          <w:tcPr>
            <w:tcW w:w="1985" w:type="dxa"/>
            <w:vAlign w:val="center"/>
          </w:tcPr>
          <w:p w14:paraId="524EC2A1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328D84F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7A32AF7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54BCC7FD" w14:textId="77777777" w:rsidTr="000042C0">
        <w:tc>
          <w:tcPr>
            <w:tcW w:w="1696" w:type="dxa"/>
            <w:vMerge/>
            <w:vAlign w:val="center"/>
          </w:tcPr>
          <w:p w14:paraId="033BAE55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39BB711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Minimalūs nustatyti sistemos prieigos lygmenys</w:t>
            </w:r>
          </w:p>
        </w:tc>
        <w:tc>
          <w:tcPr>
            <w:tcW w:w="4252" w:type="dxa"/>
            <w:vAlign w:val="center"/>
          </w:tcPr>
          <w:p w14:paraId="27CAC5E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Sistemoje turi būti skirtingi prieigų lygmenys:  </w:t>
            </w:r>
          </w:p>
          <w:p w14:paraId="2916AD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Administratorius – </w:t>
            </w: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gali atlikti visus galimus pakeitimus ir mato visą informaciją, gali vykdyti avarinį išjungimą, prisijungti prie instaliavimo programėlės.</w:t>
            </w:r>
          </w:p>
          <w:p w14:paraId="661BE8E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Stebėtojas</w:t>
            </w: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 – mato visą informaciją, bet negali atlikti jokių pakeitimų, negali prisijungti prie programėlės, nemato nustatymų, kurie skirti tik administratoriui.</w:t>
            </w:r>
          </w:p>
          <w:p w14:paraId="57C253B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Technikas</w:t>
            </w: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 – mato visą informaciją, gali keisti problemų būseną ir palikti komentarus, gali prisijungti prie programėlės, bet nemato administratoriaus nustatymų.</w:t>
            </w:r>
          </w:p>
        </w:tc>
        <w:tc>
          <w:tcPr>
            <w:tcW w:w="1985" w:type="dxa"/>
            <w:vAlign w:val="center"/>
          </w:tcPr>
          <w:p w14:paraId="551241A3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386CDFD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43D4C60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7FB744F6" w14:textId="77777777" w:rsidTr="000042C0">
        <w:tc>
          <w:tcPr>
            <w:tcW w:w="1696" w:type="dxa"/>
            <w:vMerge/>
            <w:vAlign w:val="center"/>
          </w:tcPr>
          <w:p w14:paraId="6951148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68D037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Prietaisų apšvietimo scenarijų kūrimo ir redagavimo funkcijos</w:t>
            </w:r>
          </w:p>
        </w:tc>
        <w:tc>
          <w:tcPr>
            <w:tcW w:w="4252" w:type="dxa"/>
            <w:vAlign w:val="center"/>
          </w:tcPr>
          <w:p w14:paraId="4ACABB3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Galimybė apšvietimo valdymo sistemoje atlikti naujų šviestuvų valdiklių profilių kūrimą ir redagavimą.</w:t>
            </w:r>
          </w:p>
        </w:tc>
        <w:tc>
          <w:tcPr>
            <w:tcW w:w="1985" w:type="dxa"/>
            <w:vAlign w:val="center"/>
          </w:tcPr>
          <w:p w14:paraId="5E7CA4F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6ED160D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717DBC8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4B5E9680" w14:textId="77777777" w:rsidTr="000042C0">
        <w:tc>
          <w:tcPr>
            <w:tcW w:w="1696" w:type="dxa"/>
            <w:vMerge/>
            <w:vAlign w:val="center"/>
          </w:tcPr>
          <w:p w14:paraId="34DD862E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1717372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866A2F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Apšvietimo valdymo sistema turi suteikti galimybę nustatyti individualius šviestuvų įjungimo ir išjungimo laikus, naudojant šiuos parametrus:</w:t>
            </w:r>
          </w:p>
          <w:p w14:paraId="4487EE86" w14:textId="77777777" w:rsidR="00984269" w:rsidRPr="00984269" w:rsidRDefault="00984269" w:rsidP="0098426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automatinis įjungimas ir išjungimas pagal saulėtekio ir saulėlydžio laiką, su galimybe nustatyti laiko poslinkį (ankstinimą arba vėlinimą);</w:t>
            </w:r>
          </w:p>
          <w:p w14:paraId="2DD65503" w14:textId="77777777" w:rsidR="00984269" w:rsidRPr="00984269" w:rsidRDefault="00984269" w:rsidP="0098426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papildomi įjungimo ir išjungimo laikai pagal nustatytus paros laikotarpius;</w:t>
            </w:r>
          </w:p>
          <w:p w14:paraId="12880EC3" w14:textId="77777777" w:rsidR="00984269" w:rsidRPr="00984269" w:rsidRDefault="00984269" w:rsidP="0098426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6D9EEB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įjungimo ir išjungimo laiko koregavimas pagal aplinkos apšvietimo lygį (</w:t>
            </w:r>
            <w:proofErr w:type="spellStart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lux</w:t>
            </w:r>
            <w:proofErr w:type="spellEnd"/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985" w:type="dxa"/>
            <w:vAlign w:val="center"/>
          </w:tcPr>
          <w:p w14:paraId="08AB0AF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................................</w:t>
            </w:r>
          </w:p>
          <w:p w14:paraId="24CF403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3DDFBCE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22DC58F4" w14:textId="77777777" w:rsidTr="000042C0">
        <w:tc>
          <w:tcPr>
            <w:tcW w:w="1696" w:type="dxa"/>
            <w:vMerge/>
            <w:vAlign w:val="center"/>
          </w:tcPr>
          <w:p w14:paraId="06C0894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5EA43C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0CF63E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Galimybė apšvietimo valdymo sistemoje priskirti profilį individualiems šviestuvų valdikliams ir jų grupėms.</w:t>
            </w:r>
          </w:p>
        </w:tc>
        <w:tc>
          <w:tcPr>
            <w:tcW w:w="1985" w:type="dxa"/>
            <w:vAlign w:val="center"/>
          </w:tcPr>
          <w:p w14:paraId="2F390B3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3A6FCC1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6DF6746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44D71ED5" w14:textId="77777777" w:rsidTr="000042C0">
        <w:tc>
          <w:tcPr>
            <w:tcW w:w="1696" w:type="dxa"/>
            <w:vMerge/>
            <w:vAlign w:val="center"/>
          </w:tcPr>
          <w:p w14:paraId="7A4D51B1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343F75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174071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Sistemoje turi būti galimybė nustatyti ir reguliuoti apšvietimo atstumą iki ir už judančio objekto ir apšvietimo intensyvumą, pagal duomenis iš išorinio judesio jutiklio.</w:t>
            </w:r>
          </w:p>
        </w:tc>
        <w:tc>
          <w:tcPr>
            <w:tcW w:w="1985" w:type="dxa"/>
            <w:vAlign w:val="center"/>
          </w:tcPr>
          <w:p w14:paraId="3B40D25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40D1AA3F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467D0289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7AF0589C" w14:textId="77777777" w:rsidTr="000042C0">
        <w:tc>
          <w:tcPr>
            <w:tcW w:w="1696" w:type="dxa"/>
            <w:vMerge/>
            <w:vAlign w:val="center"/>
          </w:tcPr>
          <w:p w14:paraId="0BC69BC9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D532FA8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B581E5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Sistema turi, naudodama judesio jutiklius, realiuoju laiku aptikti judantį objektą ir nustatyti jo judėjimo kryptį ir greitį.</w:t>
            </w:r>
          </w:p>
          <w:p w14:paraId="5E91C9E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Pagal šiuos duomenis sistema automatiškai reguliuoja šviestuvų ryškumą taip, kad aplink judantį objektą būtų suformuota apšviesta zona, kuri juda kartu su juo. Ši zona turi būti reguliuojamo dydžio (nuo 0 iki 500 m spinduliu).</w:t>
            </w:r>
          </w:p>
          <w:p w14:paraId="19FC5168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Judėjimo kryptimi šviestuvai turi įsijungti ir šviesti ryškiau, o objektui nutolus – už jo likę šviestuvai turi palaipsniui pritemti iki nustatyto lygio arba išsijungti. Šviesos pokyčiai turi būti tolygūs (be staigių perėjimų).</w:t>
            </w:r>
          </w:p>
          <w:p w14:paraId="7FCBC11E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Tokiu būdu turi būti užtikrinamas reikiamas apšvietimas tik ten, kur jis reikalingas, ir mažinamos energijos sąnaudos.</w:t>
            </w:r>
          </w:p>
          <w:p w14:paraId="46BCA0E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Konfigūruojami nustatymai:</w:t>
            </w:r>
          </w:p>
          <w:p w14:paraId="4D755AEA" w14:textId="77777777" w:rsidR="00984269" w:rsidRPr="00984269" w:rsidRDefault="00984269" w:rsidP="0098426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maksimalus apšvietimo lygis judėjimo metu (iki 100 %);</w:t>
            </w:r>
          </w:p>
          <w:p w14:paraId="2A2DA82A" w14:textId="77777777" w:rsidR="00984269" w:rsidRPr="00984269" w:rsidRDefault="00984269" w:rsidP="0098426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budėjimo režimo apšvietimo lygis (0–100 %);</w:t>
            </w:r>
          </w:p>
          <w:p w14:paraId="34990EFA" w14:textId="77777777" w:rsidR="00984269" w:rsidRPr="00984269" w:rsidRDefault="00984269" w:rsidP="0098426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laikas, po kurio šviestuvai pritemdomi, kai nebefiksuojamas judėjimas;</w:t>
            </w:r>
          </w:p>
          <w:p w14:paraId="6EE05DBE" w14:textId="77777777" w:rsidR="00984269" w:rsidRPr="00984269" w:rsidRDefault="00984269" w:rsidP="0098426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apšvietimo zonos nustatymai metrais.</w:t>
            </w:r>
          </w:p>
        </w:tc>
        <w:tc>
          <w:tcPr>
            <w:tcW w:w="1985" w:type="dxa"/>
            <w:vAlign w:val="center"/>
          </w:tcPr>
          <w:p w14:paraId="3079227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BB3A7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97DCA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9F86AA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2051C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EEE3B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A3A153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F70DAE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78B6D9F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F9371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5C34E63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0A30E7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A6FF282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3B72D1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55495FE3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5A4E8D1C" w14:textId="77777777" w:rsidTr="000042C0">
        <w:tc>
          <w:tcPr>
            <w:tcW w:w="1696" w:type="dxa"/>
            <w:vMerge/>
            <w:vAlign w:val="center"/>
          </w:tcPr>
          <w:p w14:paraId="71844E02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BB18DF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Šviestuvų valdiklių peržiūra apšvietimo valdymo sistemos žemėlapyje</w:t>
            </w:r>
          </w:p>
        </w:tc>
        <w:tc>
          <w:tcPr>
            <w:tcW w:w="4252" w:type="dxa"/>
            <w:vAlign w:val="center"/>
          </w:tcPr>
          <w:p w14:paraId="659F7A6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Prietaisų atvaizdavimas žemėlapyje pagal esamą prietaiso būseną, būsenos indikacija skirtingomis spalvomis.</w:t>
            </w:r>
          </w:p>
        </w:tc>
        <w:tc>
          <w:tcPr>
            <w:tcW w:w="1985" w:type="dxa"/>
            <w:vAlign w:val="center"/>
          </w:tcPr>
          <w:p w14:paraId="32283E4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4CEAEB3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6B4F3FC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18E62C6C" w14:textId="77777777" w:rsidTr="000042C0">
        <w:tc>
          <w:tcPr>
            <w:tcW w:w="1696" w:type="dxa"/>
            <w:vMerge/>
            <w:vAlign w:val="center"/>
          </w:tcPr>
          <w:p w14:paraId="12884085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01FDD86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18221C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Galimybė apšvietimo valdymo sistemoje filtruoti prietaisus pagal prietaiso tipą, būseną ir gedimus.</w:t>
            </w:r>
          </w:p>
        </w:tc>
        <w:tc>
          <w:tcPr>
            <w:tcW w:w="1985" w:type="dxa"/>
            <w:vAlign w:val="center"/>
          </w:tcPr>
          <w:p w14:paraId="6857207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1866101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4B445E6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298E246A" w14:textId="77777777" w:rsidTr="000042C0">
        <w:tc>
          <w:tcPr>
            <w:tcW w:w="1696" w:type="dxa"/>
            <w:vMerge/>
            <w:vAlign w:val="center"/>
          </w:tcPr>
          <w:p w14:paraId="5142FC02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1CAAB3A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717830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Galimybė apšvietimo valdymo sistemoje ieškoti prietaisų žemėlapyje pagal adresą ir pagal prietaiso ID. </w:t>
            </w:r>
          </w:p>
        </w:tc>
        <w:tc>
          <w:tcPr>
            <w:tcW w:w="1985" w:type="dxa"/>
            <w:vAlign w:val="center"/>
          </w:tcPr>
          <w:p w14:paraId="4C0A447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40F04C9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5DB5FBE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5994E5B5" w14:textId="77777777" w:rsidTr="000042C0">
        <w:tc>
          <w:tcPr>
            <w:tcW w:w="1696" w:type="dxa"/>
            <w:vMerge/>
            <w:vAlign w:val="center"/>
          </w:tcPr>
          <w:p w14:paraId="4D17B945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22B5FD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Šviestuvų veikimo būsenos atvaizdavimas</w:t>
            </w:r>
          </w:p>
        </w:tc>
        <w:tc>
          <w:tcPr>
            <w:tcW w:w="4252" w:type="dxa"/>
            <w:vAlign w:val="center"/>
          </w:tcPr>
          <w:p w14:paraId="7508716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Numatyti bent šiuos šviestuvų valdiklių veikimo būsenos apibrėžimus:</w:t>
            </w:r>
          </w:p>
          <w:p w14:paraId="5FF456E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aktyvus – šviestuvas įjungtas (šviečia);</w:t>
            </w:r>
          </w:p>
          <w:p w14:paraId="3BB618B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neaktyvus – šviestuvas išjungtas (nešviečia);</w:t>
            </w:r>
          </w:p>
          <w:p w14:paraId="53DEB43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- neprisijungęs – šviestuvo valdiklis neturi ryšio su apšvietimo valdymo sistema;  </w:t>
            </w:r>
          </w:p>
        </w:tc>
        <w:tc>
          <w:tcPr>
            <w:tcW w:w="1985" w:type="dxa"/>
            <w:vAlign w:val="center"/>
          </w:tcPr>
          <w:p w14:paraId="21B4815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24D3AF6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67FC6AA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78BA246C" w14:textId="77777777" w:rsidTr="000042C0">
        <w:tc>
          <w:tcPr>
            <w:tcW w:w="1696" w:type="dxa"/>
            <w:vMerge/>
            <w:vAlign w:val="center"/>
          </w:tcPr>
          <w:p w14:paraId="403D2473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4AC258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Grafinis duomenų atvaizdavimas apšvietimo valdymo sistemoje</w:t>
            </w:r>
          </w:p>
        </w:tc>
        <w:tc>
          <w:tcPr>
            <w:tcW w:w="4252" w:type="dxa"/>
            <w:vAlign w:val="center"/>
          </w:tcPr>
          <w:p w14:paraId="5B274B2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matoma informacija apie visų organizacijai priklausančių šviestuvų valdiklių kiekį.</w:t>
            </w:r>
          </w:p>
        </w:tc>
        <w:tc>
          <w:tcPr>
            <w:tcW w:w="1985" w:type="dxa"/>
            <w:vAlign w:val="center"/>
          </w:tcPr>
          <w:p w14:paraId="0D7C1FF2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6DE2408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1BD2956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3506A631" w14:textId="77777777" w:rsidTr="000042C0">
        <w:tc>
          <w:tcPr>
            <w:tcW w:w="1696" w:type="dxa"/>
            <w:vMerge/>
            <w:vAlign w:val="center"/>
          </w:tcPr>
          <w:p w14:paraId="1814302F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98932BF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F6CA1A6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matoma šviestuvų valdiklių būsenų peržiūra.</w:t>
            </w:r>
          </w:p>
        </w:tc>
        <w:tc>
          <w:tcPr>
            <w:tcW w:w="1985" w:type="dxa"/>
            <w:vAlign w:val="center"/>
          </w:tcPr>
          <w:p w14:paraId="05825C7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521D7C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  <w:p w14:paraId="2E600759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4269" w:rsidRPr="00984269" w14:paraId="00B8E473" w14:textId="77777777" w:rsidTr="000042C0">
        <w:tc>
          <w:tcPr>
            <w:tcW w:w="1696" w:type="dxa"/>
            <w:vMerge/>
            <w:vAlign w:val="center"/>
          </w:tcPr>
          <w:p w14:paraId="5B227CDE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51D2D09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B558AA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Sistemoje turi būti pateikiami veikiančių ir neveikiančių šviestuvų valdiklių duomenys.</w:t>
            </w:r>
          </w:p>
        </w:tc>
        <w:tc>
          <w:tcPr>
            <w:tcW w:w="1985" w:type="dxa"/>
            <w:vAlign w:val="center"/>
          </w:tcPr>
          <w:p w14:paraId="7BB6424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1A1A5EF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2DBDA0A6" w14:textId="77777777" w:rsidTr="000042C0">
        <w:tc>
          <w:tcPr>
            <w:tcW w:w="1696" w:type="dxa"/>
            <w:vMerge/>
            <w:vAlign w:val="center"/>
          </w:tcPr>
          <w:p w14:paraId="5020B949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271177D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79EDFEB" w14:textId="77777777" w:rsidR="00984269" w:rsidRPr="00984269" w:rsidRDefault="00984269" w:rsidP="00984269">
            <w:pPr>
              <w:tabs>
                <w:tab w:val="left" w:pos="134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Sistemoje turi būti pateikiamas aktyvių apšvietimo valdymo įrenginių gedimų sąrašas organizacijoje.</w:t>
            </w: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</w:p>
        </w:tc>
        <w:tc>
          <w:tcPr>
            <w:tcW w:w="1985" w:type="dxa"/>
            <w:vAlign w:val="center"/>
          </w:tcPr>
          <w:p w14:paraId="4500F51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50C842F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4EF38449" w14:textId="77777777" w:rsidTr="000042C0">
        <w:tc>
          <w:tcPr>
            <w:tcW w:w="1696" w:type="dxa"/>
            <w:vMerge/>
            <w:vAlign w:val="center"/>
          </w:tcPr>
          <w:p w14:paraId="5EC8CC81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85A66A6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F20DCD4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vidutinio gedimų sprendimo laiko stebėsenos galimybė.</w:t>
            </w:r>
          </w:p>
        </w:tc>
        <w:tc>
          <w:tcPr>
            <w:tcW w:w="1985" w:type="dxa"/>
            <w:vAlign w:val="center"/>
          </w:tcPr>
          <w:p w14:paraId="4AC4616B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6ADA2CBF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79DE315C" w14:textId="77777777" w:rsidTr="000042C0">
        <w:tc>
          <w:tcPr>
            <w:tcW w:w="1696" w:type="dxa"/>
            <w:vMerge/>
            <w:vAlign w:val="center"/>
          </w:tcPr>
          <w:p w14:paraId="6F26C9BF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E168D70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023CCEA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6D9EEB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Apšvietimo valdymo sistemoje turi būti pateikiami organizacijai priklausančių šviestuvų energijos suvartojimo ir taupymo duomenys.  </w:t>
            </w: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Sistema turi užtikrinti galimybę peržiūrėti energijos suvartojimo duomenis kiekvienai gatvei atskirai</w:t>
            </w:r>
          </w:p>
        </w:tc>
        <w:tc>
          <w:tcPr>
            <w:tcW w:w="1985" w:type="dxa"/>
            <w:vAlign w:val="center"/>
          </w:tcPr>
          <w:p w14:paraId="71D031F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5B196FA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1AB169FB" w14:textId="77777777" w:rsidTr="000042C0">
        <w:tc>
          <w:tcPr>
            <w:tcW w:w="1696" w:type="dxa"/>
            <w:vMerge/>
            <w:vAlign w:val="center"/>
          </w:tcPr>
          <w:p w14:paraId="5C189DBE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7685DA9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9DDFBDB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atvaizduojamas organizacijai priklausančių šviestuvų likutinis tarnavimo laikas.</w:t>
            </w:r>
          </w:p>
        </w:tc>
        <w:tc>
          <w:tcPr>
            <w:tcW w:w="1985" w:type="dxa"/>
            <w:vAlign w:val="center"/>
          </w:tcPr>
          <w:p w14:paraId="1413C3C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554A33C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2730B157" w14:textId="77777777" w:rsidTr="000042C0">
        <w:tc>
          <w:tcPr>
            <w:tcW w:w="1696" w:type="dxa"/>
            <w:vMerge/>
            <w:vAlign w:val="center"/>
          </w:tcPr>
          <w:p w14:paraId="233B925C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F6A948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Gedimų pranešimų valdymas</w:t>
            </w:r>
          </w:p>
        </w:tc>
        <w:tc>
          <w:tcPr>
            <w:tcW w:w="4252" w:type="dxa"/>
            <w:vAlign w:val="center"/>
          </w:tcPr>
          <w:p w14:paraId="76D11FB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gedimų pranešimų sukūrimas.</w:t>
            </w:r>
          </w:p>
          <w:p w14:paraId="4FB98D8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Automatiškai generuojami sistemos gedimų pranešimai šviestuvų valdikliams:</w:t>
            </w:r>
          </w:p>
          <w:p w14:paraId="1C78931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DALI sąsajos gedimas;</w:t>
            </w:r>
          </w:p>
          <w:p w14:paraId="58AEF77F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Šviestuvo valdiklis neturi ryšio su valdymo sistema;</w:t>
            </w:r>
          </w:p>
          <w:p w14:paraId="4B59BAC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Šviestuvų valdiklių fiksuojamas energijos suvartojimas neatitinka šviestuvų skleidžiamo šviesos intensyvumo lygio.</w:t>
            </w:r>
          </w:p>
          <w:p w14:paraId="4C600105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6D9EEB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Įtampos matavimai ne ribose.</w:t>
            </w:r>
          </w:p>
        </w:tc>
        <w:tc>
          <w:tcPr>
            <w:tcW w:w="1985" w:type="dxa"/>
            <w:vAlign w:val="center"/>
          </w:tcPr>
          <w:p w14:paraId="1A13FFA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C434D30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CF4E1AA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981E537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7433A21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691A0B4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0A01F925" w14:textId="77777777" w:rsidTr="000042C0">
        <w:tc>
          <w:tcPr>
            <w:tcW w:w="1696" w:type="dxa"/>
            <w:vMerge/>
            <w:vAlign w:val="center"/>
          </w:tcPr>
          <w:p w14:paraId="12100FB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D372F9B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929FE2A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turi būti užtikrinta gedimų peržiūra žemėlapyje:</w:t>
            </w:r>
          </w:p>
          <w:p w14:paraId="7B085537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Valdikliai turintys gedimų, turi turėti savo žymėjimą.</w:t>
            </w:r>
          </w:p>
        </w:tc>
        <w:tc>
          <w:tcPr>
            <w:tcW w:w="1985" w:type="dxa"/>
            <w:vAlign w:val="center"/>
          </w:tcPr>
          <w:p w14:paraId="09BA1585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D8509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F981F9E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4FF2833E" w14:textId="77777777" w:rsidTr="000042C0">
        <w:tc>
          <w:tcPr>
            <w:tcW w:w="1696" w:type="dxa"/>
            <w:vMerge/>
            <w:vAlign w:val="center"/>
          </w:tcPr>
          <w:p w14:paraId="08BFC6F4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0402F32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95F5F9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Gedimai sistemoje turi turėti skaidymą pagal skirtingus svarbos lygius:</w:t>
            </w:r>
          </w:p>
          <w:p w14:paraId="5AE3EAB1" w14:textId="77777777" w:rsidR="00984269" w:rsidRPr="00984269" w:rsidRDefault="00984269" w:rsidP="0098426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8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Kritinis;</w:t>
            </w:r>
          </w:p>
          <w:p w14:paraId="74AF6E6D" w14:textId="77777777" w:rsidR="00984269" w:rsidRPr="00984269" w:rsidRDefault="00984269" w:rsidP="0098426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8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Įspėjimas;</w:t>
            </w:r>
          </w:p>
          <w:p w14:paraId="092C3B8B" w14:textId="77777777" w:rsidR="00984269" w:rsidRPr="00984269" w:rsidRDefault="00984269" w:rsidP="0098426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8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Informacinis.</w:t>
            </w:r>
          </w:p>
          <w:p w14:paraId="00F5055D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Apšvietimo valdymo sistemoje gedimai turi būti matomi ir rikiuojami pagal jų svarbos lygius bei jų susikūrimo datą.</w:t>
            </w:r>
          </w:p>
        </w:tc>
        <w:tc>
          <w:tcPr>
            <w:tcW w:w="1985" w:type="dxa"/>
            <w:vAlign w:val="center"/>
          </w:tcPr>
          <w:p w14:paraId="52DB674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616B663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05FC8DB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5A9720C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7088ECD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  <w:tr w:rsidR="00984269" w:rsidRPr="00984269" w14:paraId="12B2714E" w14:textId="77777777" w:rsidTr="000042C0">
        <w:tc>
          <w:tcPr>
            <w:tcW w:w="1696" w:type="dxa"/>
            <w:vMerge/>
            <w:vAlign w:val="center"/>
          </w:tcPr>
          <w:p w14:paraId="25A1AFAD" w14:textId="77777777" w:rsidR="00984269" w:rsidRPr="00984269" w:rsidRDefault="00984269" w:rsidP="009842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6DD44A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Duomenų saugojimas</w:t>
            </w:r>
          </w:p>
          <w:p w14:paraId="319ECAF3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ir jų saugumas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33DCACC9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Apšvietimo valdymo sistemos duomenys perduodami šifruotu būdu;</w:t>
            </w:r>
          </w:p>
          <w:p w14:paraId="33DD7310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- Apšvietimo valdymo sistema yra apsaugota nuo </w:t>
            </w:r>
            <w:proofErr w:type="spellStart"/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DDoS</w:t>
            </w:r>
            <w:proofErr w:type="spellEnd"/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 xml:space="preserve"> (paskirstytų paslaugos trikdymo) atakų grėsmės;</w:t>
            </w:r>
          </w:p>
          <w:p w14:paraId="5193F0B2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- Kuriamos ir saugomos bent paskutinių 7 dienų sistemos duomenų bazės kopijos.</w:t>
            </w:r>
          </w:p>
          <w:p w14:paraId="3385CC3C" w14:textId="77777777" w:rsidR="00984269" w:rsidRPr="00984269" w:rsidRDefault="00984269" w:rsidP="00984269">
            <w:pPr>
              <w:spacing w:after="0" w:line="240" w:lineRule="auto"/>
              <w:rPr>
                <w:rFonts w:ascii="Times New Roman" w:eastAsia="Times New Roman" w:hAnsi="Times New Roman"/>
                <w:color w:val="6D9EEB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Apšvietimo valdymo sistema turi atitikti ISO/IEC 27001 reikalavimus</w:t>
            </w:r>
          </w:p>
        </w:tc>
        <w:tc>
          <w:tcPr>
            <w:tcW w:w="1985" w:type="dxa"/>
            <w:vAlign w:val="center"/>
          </w:tcPr>
          <w:p w14:paraId="2EF8DF08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C910974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246EED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</w:t>
            </w:r>
          </w:p>
          <w:p w14:paraId="27C02E06" w14:textId="77777777" w:rsidR="00984269" w:rsidRPr="00984269" w:rsidRDefault="00984269" w:rsidP="00984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269">
              <w:rPr>
                <w:rFonts w:ascii="Times New Roman" w:eastAsia="Times New Roman" w:hAnsi="Times New Roman"/>
                <w:sz w:val="20"/>
                <w:szCs w:val="20"/>
              </w:rPr>
              <w:t>(atitinka/neatitinka)</w:t>
            </w:r>
          </w:p>
        </w:tc>
      </w:tr>
    </w:tbl>
    <w:p w14:paraId="1E950230" w14:textId="77777777" w:rsidR="00C51434" w:rsidRPr="00D02C55" w:rsidRDefault="00C51434" w:rsidP="00C51434">
      <w:pPr>
        <w:spacing w:line="240" w:lineRule="auto"/>
        <w:rPr>
          <w:rFonts w:ascii="Times New Roman" w:hAnsi="Times New Roman"/>
          <w:sz w:val="20"/>
          <w:szCs w:val="20"/>
        </w:rPr>
      </w:pPr>
    </w:p>
    <w:p w14:paraId="7E47150B" w14:textId="64EB5D2A" w:rsidR="00473976" w:rsidRPr="00D02C55" w:rsidRDefault="00473976" w:rsidP="003A0A38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73976" w:rsidRPr="00D02C55" w:rsidSect="0068721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36A38"/>
    <w:multiLevelType w:val="hybridMultilevel"/>
    <w:tmpl w:val="8BCC9A92"/>
    <w:lvl w:ilvl="0" w:tplc="00702B0A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397DE8"/>
    <w:multiLevelType w:val="hybridMultilevel"/>
    <w:tmpl w:val="662AD73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14E57"/>
    <w:multiLevelType w:val="multilevel"/>
    <w:tmpl w:val="428A1D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7C6FF8"/>
    <w:multiLevelType w:val="hybridMultilevel"/>
    <w:tmpl w:val="CB4E1306"/>
    <w:lvl w:ilvl="0" w:tplc="2752C93E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D561F"/>
    <w:multiLevelType w:val="multilevel"/>
    <w:tmpl w:val="5978BB66"/>
    <w:lvl w:ilvl="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D374387"/>
    <w:multiLevelType w:val="hybridMultilevel"/>
    <w:tmpl w:val="150CE924"/>
    <w:lvl w:ilvl="0" w:tplc="FABEE58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30BF8"/>
    <w:multiLevelType w:val="hybridMultilevel"/>
    <w:tmpl w:val="1A4C5E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31EC8"/>
    <w:multiLevelType w:val="multilevel"/>
    <w:tmpl w:val="2A5A255E"/>
    <w:lvl w:ilvl="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8551A44"/>
    <w:multiLevelType w:val="multilevel"/>
    <w:tmpl w:val="04CA27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82998143">
    <w:abstractNumId w:val="6"/>
  </w:num>
  <w:num w:numId="2" w16cid:durableId="1073427265">
    <w:abstractNumId w:val="5"/>
  </w:num>
  <w:num w:numId="3" w16cid:durableId="860388628">
    <w:abstractNumId w:val="3"/>
  </w:num>
  <w:num w:numId="4" w16cid:durableId="289242928">
    <w:abstractNumId w:val="1"/>
  </w:num>
  <w:num w:numId="5" w16cid:durableId="462163544">
    <w:abstractNumId w:val="0"/>
  </w:num>
  <w:num w:numId="6" w16cid:durableId="854273513">
    <w:abstractNumId w:val="8"/>
  </w:num>
  <w:num w:numId="7" w16cid:durableId="1350451338">
    <w:abstractNumId w:val="2"/>
  </w:num>
  <w:num w:numId="8" w16cid:durableId="2105762831">
    <w:abstractNumId w:val="4"/>
  </w:num>
  <w:num w:numId="9" w16cid:durableId="5840705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976"/>
    <w:rsid w:val="000042C0"/>
    <w:rsid w:val="00047026"/>
    <w:rsid w:val="00070ECE"/>
    <w:rsid w:val="000C6D1C"/>
    <w:rsid w:val="000D0711"/>
    <w:rsid w:val="001D3181"/>
    <w:rsid w:val="0022385D"/>
    <w:rsid w:val="002248EA"/>
    <w:rsid w:val="00225680"/>
    <w:rsid w:val="00294FE0"/>
    <w:rsid w:val="00297874"/>
    <w:rsid w:val="002A60BB"/>
    <w:rsid w:val="002B0260"/>
    <w:rsid w:val="002B45F1"/>
    <w:rsid w:val="002C39A4"/>
    <w:rsid w:val="00306434"/>
    <w:rsid w:val="003965E3"/>
    <w:rsid w:val="003A0A38"/>
    <w:rsid w:val="00411A84"/>
    <w:rsid w:val="00473976"/>
    <w:rsid w:val="0047587C"/>
    <w:rsid w:val="004B1EEB"/>
    <w:rsid w:val="004C0821"/>
    <w:rsid w:val="005355BA"/>
    <w:rsid w:val="005A626A"/>
    <w:rsid w:val="005E1388"/>
    <w:rsid w:val="005F042B"/>
    <w:rsid w:val="005F67E4"/>
    <w:rsid w:val="0060038E"/>
    <w:rsid w:val="00687211"/>
    <w:rsid w:val="006E0E4A"/>
    <w:rsid w:val="006F3D70"/>
    <w:rsid w:val="00734940"/>
    <w:rsid w:val="00792B1C"/>
    <w:rsid w:val="007B6FC4"/>
    <w:rsid w:val="007E223B"/>
    <w:rsid w:val="007F6DEF"/>
    <w:rsid w:val="00811059"/>
    <w:rsid w:val="008243DF"/>
    <w:rsid w:val="008506F0"/>
    <w:rsid w:val="008651CD"/>
    <w:rsid w:val="008719D8"/>
    <w:rsid w:val="00880F13"/>
    <w:rsid w:val="008832E0"/>
    <w:rsid w:val="00885311"/>
    <w:rsid w:val="008B4200"/>
    <w:rsid w:val="008E5235"/>
    <w:rsid w:val="00934D2D"/>
    <w:rsid w:val="00950B03"/>
    <w:rsid w:val="00984269"/>
    <w:rsid w:val="009A1809"/>
    <w:rsid w:val="009D3D13"/>
    <w:rsid w:val="009D705D"/>
    <w:rsid w:val="00A16152"/>
    <w:rsid w:val="00A52313"/>
    <w:rsid w:val="00A84043"/>
    <w:rsid w:val="00A91C97"/>
    <w:rsid w:val="00AD4C85"/>
    <w:rsid w:val="00AE69E2"/>
    <w:rsid w:val="00AF4E46"/>
    <w:rsid w:val="00B620ED"/>
    <w:rsid w:val="00B910E2"/>
    <w:rsid w:val="00B97490"/>
    <w:rsid w:val="00BA08AE"/>
    <w:rsid w:val="00BB6BEB"/>
    <w:rsid w:val="00BD33B0"/>
    <w:rsid w:val="00BE7A6F"/>
    <w:rsid w:val="00C51434"/>
    <w:rsid w:val="00C642A4"/>
    <w:rsid w:val="00CA1F80"/>
    <w:rsid w:val="00CF5353"/>
    <w:rsid w:val="00D02C55"/>
    <w:rsid w:val="00D31FE9"/>
    <w:rsid w:val="00D5661B"/>
    <w:rsid w:val="00DB529A"/>
    <w:rsid w:val="00E02895"/>
    <w:rsid w:val="00E33EE9"/>
    <w:rsid w:val="00E36921"/>
    <w:rsid w:val="00E714BC"/>
    <w:rsid w:val="00E74CF1"/>
    <w:rsid w:val="00ED5ADE"/>
    <w:rsid w:val="00EF43F8"/>
    <w:rsid w:val="00EF68CB"/>
    <w:rsid w:val="00F31945"/>
    <w:rsid w:val="00F613AD"/>
    <w:rsid w:val="00F7282E"/>
    <w:rsid w:val="00FB3DFC"/>
    <w:rsid w:val="00FC40D8"/>
    <w:rsid w:val="00FC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17F6"/>
  <w15:chartTrackingRefBased/>
  <w15:docId w15:val="{42DCD1E9-62E0-448F-8BB2-4D5C471F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397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3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3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39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3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39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3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3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3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3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39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39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39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397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397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397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397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397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397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3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3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3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3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3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397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ist (service"/>
    <w:basedOn w:val="prastasis"/>
    <w:link w:val="SraopastraipaDiagrama"/>
    <w:uiPriority w:val="34"/>
    <w:qFormat/>
    <w:rsid w:val="0047397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397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39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397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397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7397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7397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Standard">
    <w:name w:val="Standard"/>
    <w:rsid w:val="00D31FE9"/>
    <w:pPr>
      <w:suppressAutoHyphens/>
      <w:autoSpaceDN w:val="0"/>
      <w:spacing w:after="200" w:line="276" w:lineRule="auto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zh-CN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620ED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5661B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16652</Words>
  <Characters>9492</Characters>
  <Application>Microsoft Office Word</Application>
  <DocSecurity>0</DocSecurity>
  <Lines>79</Lines>
  <Paragraphs>52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Radzevičienė</dc:creator>
  <cp:keywords/>
  <dc:description/>
  <cp:lastModifiedBy>Justina Puleikytė</cp:lastModifiedBy>
  <cp:revision>4</cp:revision>
  <dcterms:created xsi:type="dcterms:W3CDTF">2026-05-13T07:22:00Z</dcterms:created>
  <dcterms:modified xsi:type="dcterms:W3CDTF">2026-05-13T10:12:00Z</dcterms:modified>
</cp:coreProperties>
</file>